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43FB4" w14:textId="139915F4" w:rsidR="0086391E" w:rsidRPr="008D1724" w:rsidRDefault="0086391E" w:rsidP="0086391E">
      <w:pPr>
        <w:pStyle w:val="Header"/>
        <w:tabs>
          <w:tab w:val="right" w:pos="9639"/>
        </w:tabs>
        <w:rPr>
          <w:noProof w:val="0"/>
          <w:color w:val="000000" w:themeColor="text1"/>
          <w:sz w:val="24"/>
          <w:szCs w:val="24"/>
          <w:lang w:val="de-DE"/>
        </w:rPr>
      </w:pPr>
      <w:r w:rsidRPr="008D1724">
        <w:rPr>
          <w:noProof w:val="0"/>
          <w:color w:val="000000" w:themeColor="text1"/>
          <w:sz w:val="24"/>
          <w:szCs w:val="24"/>
          <w:lang w:val="de-DE"/>
        </w:rPr>
        <w:t>3GPP TSG RAN WG1 #10</w:t>
      </w:r>
      <w:r>
        <w:rPr>
          <w:noProof w:val="0"/>
          <w:color w:val="000000" w:themeColor="text1"/>
          <w:sz w:val="24"/>
          <w:szCs w:val="24"/>
          <w:lang w:val="de-DE"/>
        </w:rPr>
        <w:t>2</w:t>
      </w:r>
      <w:r w:rsidRPr="008D1724">
        <w:rPr>
          <w:noProof w:val="0"/>
          <w:color w:val="000000" w:themeColor="text1"/>
          <w:sz w:val="24"/>
          <w:szCs w:val="24"/>
          <w:lang w:val="de-DE"/>
        </w:rPr>
        <w:t>-e</w:t>
      </w:r>
      <w:r w:rsidRPr="008D1724">
        <w:rPr>
          <w:bCs/>
          <w:noProof w:val="0"/>
          <w:color w:val="000000" w:themeColor="text1"/>
          <w:sz w:val="24"/>
          <w:szCs w:val="24"/>
          <w:lang w:val="de-DE"/>
        </w:rPr>
        <w:tab/>
      </w:r>
      <w:r w:rsidRPr="008D1724">
        <w:rPr>
          <w:noProof w:val="0"/>
          <w:color w:val="000000" w:themeColor="text1"/>
          <w:sz w:val="24"/>
          <w:szCs w:val="24"/>
          <w:lang w:val="de-DE"/>
        </w:rPr>
        <w:t>R1-</w:t>
      </w:r>
      <w:r w:rsidRPr="008D1724">
        <w:rPr>
          <w:color w:val="000000" w:themeColor="text1"/>
          <w:lang w:val="de-DE"/>
        </w:rPr>
        <w:t xml:space="preserve"> </w:t>
      </w:r>
      <w:r w:rsidRPr="008D1724">
        <w:rPr>
          <w:noProof w:val="0"/>
          <w:color w:val="000000" w:themeColor="text1"/>
          <w:sz w:val="24"/>
          <w:szCs w:val="24"/>
          <w:lang w:val="de-DE"/>
        </w:rPr>
        <w:t>200</w:t>
      </w:r>
      <w:r w:rsidR="00FB1594" w:rsidRPr="00CA1587">
        <w:rPr>
          <w:noProof w:val="0"/>
          <w:color w:val="000000" w:themeColor="text1"/>
          <w:sz w:val="24"/>
          <w:szCs w:val="24"/>
          <w:lang w:val="de-DE"/>
        </w:rPr>
        <w:t>6427</w:t>
      </w:r>
      <w:r w:rsidRPr="008D1724" w:rsidDel="0038333B">
        <w:rPr>
          <w:noProof w:val="0"/>
          <w:color w:val="000000" w:themeColor="text1"/>
          <w:sz w:val="24"/>
          <w:szCs w:val="24"/>
          <w:lang w:val="de-DE"/>
        </w:rPr>
        <w:t xml:space="preserve"> </w:t>
      </w:r>
    </w:p>
    <w:p w14:paraId="5E4C987B" w14:textId="77777777" w:rsidR="0086391E" w:rsidRPr="008D1724" w:rsidRDefault="0086391E" w:rsidP="0086391E">
      <w:pPr>
        <w:pStyle w:val="Header"/>
        <w:rPr>
          <w:bCs/>
          <w:noProof w:val="0"/>
          <w:color w:val="000000" w:themeColor="text1"/>
          <w:sz w:val="24"/>
          <w:szCs w:val="24"/>
          <w:lang w:val="de-DE"/>
        </w:rPr>
      </w:pPr>
    </w:p>
    <w:p w14:paraId="3B829A73" w14:textId="77777777" w:rsidR="0086391E" w:rsidRPr="008D1724" w:rsidRDefault="0086391E" w:rsidP="0086391E">
      <w:pPr>
        <w:pStyle w:val="Header"/>
        <w:rPr>
          <w:bCs/>
          <w:noProof w:val="0"/>
          <w:color w:val="000000" w:themeColor="text1"/>
          <w:sz w:val="24"/>
          <w:lang w:val="de-DE" w:eastAsia="ja-JP"/>
        </w:rPr>
      </w:pPr>
    </w:p>
    <w:p w14:paraId="1C6BF99B" w14:textId="77777777" w:rsidR="0086391E" w:rsidRPr="00E2789D" w:rsidRDefault="0086391E" w:rsidP="0086391E">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Pr>
          <w:rFonts w:cs="Arial"/>
          <w:b/>
          <w:bCs/>
          <w:color w:val="000000" w:themeColor="text1"/>
          <w:sz w:val="24"/>
          <w:szCs w:val="24"/>
        </w:rPr>
        <w:t>8.2.1</w:t>
      </w:r>
    </w:p>
    <w:p w14:paraId="75538240" w14:textId="77777777" w:rsidR="0086391E" w:rsidRPr="00E2789D" w:rsidRDefault="0086391E" w:rsidP="0086391E">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 xml:space="preserve">Source: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Nokia, Nokia Shanghai Bell</w:t>
      </w:r>
    </w:p>
    <w:p w14:paraId="1FB8D460" w14:textId="77777777" w:rsidR="0086391E" w:rsidRPr="00E2789D" w:rsidRDefault="0086391E" w:rsidP="0086391E">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Title: </w:t>
      </w:r>
      <w:r w:rsidRPr="00E2789D">
        <w:rPr>
          <w:rFonts w:ascii="Arial" w:hAnsi="Arial" w:cs="Arial"/>
          <w:b/>
          <w:bCs/>
          <w:color w:val="000000" w:themeColor="text1"/>
          <w:sz w:val="24"/>
        </w:rPr>
        <w:tab/>
      </w:r>
      <w:r w:rsidRPr="003273C5">
        <w:rPr>
          <w:rFonts w:ascii="Arial" w:hAnsi="Arial" w:cs="Arial"/>
          <w:b/>
          <w:bCs/>
          <w:color w:val="000000" w:themeColor="text1"/>
          <w:sz w:val="24"/>
          <w:szCs w:val="24"/>
        </w:rPr>
        <w:t>Additional scenarios for evaluation</w:t>
      </w:r>
      <w:r>
        <w:rPr>
          <w:rFonts w:ascii="Arial" w:hAnsi="Arial" w:cs="Arial"/>
          <w:b/>
          <w:bCs/>
          <w:color w:val="000000" w:themeColor="text1"/>
          <w:sz w:val="24"/>
          <w:szCs w:val="24"/>
        </w:rPr>
        <w:t xml:space="preserve"> of NR positioning </w:t>
      </w:r>
    </w:p>
    <w:p w14:paraId="10B83BEC" w14:textId="77777777" w:rsidR="0086391E" w:rsidRPr="00E2789D" w:rsidRDefault="0086391E" w:rsidP="0086391E">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for: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06DF866F" w14:textId="77777777" w:rsidR="0086391E" w:rsidRPr="00E2789D" w:rsidRDefault="0086391E" w:rsidP="0086391E">
      <w:pPr>
        <w:pStyle w:val="Heading1"/>
        <w:rPr>
          <w:color w:val="000000" w:themeColor="text1"/>
        </w:rPr>
      </w:pPr>
      <w:r w:rsidRPr="00E2789D">
        <w:rPr>
          <w:color w:val="000000" w:themeColor="text1"/>
        </w:rPr>
        <w:t>Introduction</w:t>
      </w:r>
    </w:p>
    <w:p w14:paraId="4834FE8E" w14:textId="77777777" w:rsidR="0086391E" w:rsidRDefault="0086391E" w:rsidP="0086391E">
      <w:pPr>
        <w:rPr>
          <w:color w:val="000000" w:themeColor="text1"/>
        </w:rPr>
      </w:pPr>
      <w:bookmarkStart w:id="0" w:name="_Hlk510705081"/>
      <w:r w:rsidRPr="35A52315">
        <w:rPr>
          <w:color w:val="000000" w:themeColor="text1"/>
        </w:rPr>
        <w:t>In Rel-16 native NR positioning support was standardized. At RAN#86 a new SI was approved on enhancements in Rel-17 to positioning [1]. This contribution discusses our initial views on the additional scenarios for evaluation. Our companion contributions discuss our views on evaluations and potential enhancements in [</w:t>
      </w:r>
      <w:r>
        <w:rPr>
          <w:color w:val="000000" w:themeColor="text1"/>
        </w:rPr>
        <w:t>2</w:t>
      </w:r>
      <w:r w:rsidRPr="35A52315">
        <w:rPr>
          <w:color w:val="000000" w:themeColor="text1"/>
        </w:rPr>
        <w:t>], [</w:t>
      </w:r>
      <w:r>
        <w:rPr>
          <w:color w:val="000000" w:themeColor="text1"/>
        </w:rPr>
        <w:t>3</w:t>
      </w:r>
      <w:r w:rsidRPr="35A52315">
        <w:rPr>
          <w:color w:val="000000" w:themeColor="text1"/>
        </w:rPr>
        <w:t>].</w:t>
      </w:r>
      <w:r>
        <w:rPr>
          <w:color w:val="000000" w:themeColor="text1"/>
        </w:rPr>
        <w:t xml:space="preserve"> At RAN1#101-e the following agreements were reached:</w:t>
      </w:r>
    </w:p>
    <w:p w14:paraId="34166A33" w14:textId="77777777" w:rsidR="0086391E" w:rsidRPr="00843E42" w:rsidRDefault="0086391E" w:rsidP="0086391E">
      <w:pPr>
        <w:rPr>
          <w:color w:val="000000" w:themeColor="text1"/>
          <w:lang w:val="en-US"/>
        </w:rPr>
      </w:pPr>
      <w:r w:rsidRPr="00843E42">
        <w:rPr>
          <w:color w:val="000000" w:themeColor="text1"/>
          <w:highlight w:val="green"/>
        </w:rPr>
        <w:t>Agreement</w:t>
      </w:r>
      <w:r w:rsidRPr="00843E42">
        <w:rPr>
          <w:color w:val="000000" w:themeColor="text1"/>
        </w:rPr>
        <w:t>:</w:t>
      </w:r>
    </w:p>
    <w:p w14:paraId="5AF4ED7C" w14:textId="77777777" w:rsidR="0086391E" w:rsidRPr="00843E42" w:rsidRDefault="0086391E" w:rsidP="0086391E">
      <w:pPr>
        <w:numPr>
          <w:ilvl w:val="0"/>
          <w:numId w:val="37"/>
        </w:numPr>
        <w:rPr>
          <w:color w:val="000000" w:themeColor="text1"/>
          <w:lang w:val="en-US"/>
        </w:rPr>
      </w:pPr>
      <w:proofErr w:type="spellStart"/>
      <w:r w:rsidRPr="00843E42">
        <w:rPr>
          <w:color w:val="000000" w:themeColor="text1"/>
        </w:rPr>
        <w:t>InF</w:t>
      </w:r>
      <w:proofErr w:type="spellEnd"/>
      <w:r w:rsidRPr="00843E42">
        <w:rPr>
          <w:color w:val="000000" w:themeColor="text1"/>
        </w:rPr>
        <w:t xml:space="preserve">-SH and </w:t>
      </w:r>
      <w:proofErr w:type="spellStart"/>
      <w:r w:rsidRPr="00843E42">
        <w:rPr>
          <w:color w:val="000000" w:themeColor="text1"/>
        </w:rPr>
        <w:t>InF</w:t>
      </w:r>
      <w:proofErr w:type="spellEnd"/>
      <w:r w:rsidRPr="00843E42">
        <w:rPr>
          <w:color w:val="000000" w:themeColor="text1"/>
        </w:rPr>
        <w:t xml:space="preserve">-DH models in TR 38.901 are adopted as the baseline scenarios for defining the channel models, parameters and modelling techniques for performance evaluations in the Rel. 17 positioning enhancements at least for </w:t>
      </w:r>
      <w:proofErr w:type="spellStart"/>
      <w:r w:rsidRPr="00843E42">
        <w:rPr>
          <w:color w:val="000000" w:themeColor="text1"/>
        </w:rPr>
        <w:t>IIoT</w:t>
      </w:r>
      <w:proofErr w:type="spellEnd"/>
      <w:r w:rsidRPr="00843E42">
        <w:rPr>
          <w:color w:val="000000" w:themeColor="text1"/>
        </w:rPr>
        <w:t xml:space="preserve"> use cases</w:t>
      </w:r>
    </w:p>
    <w:p w14:paraId="0147886A" w14:textId="77777777" w:rsidR="0086391E" w:rsidRPr="00843E42" w:rsidRDefault="0086391E" w:rsidP="0086391E">
      <w:pPr>
        <w:numPr>
          <w:ilvl w:val="0"/>
          <w:numId w:val="37"/>
        </w:numPr>
        <w:rPr>
          <w:color w:val="000000" w:themeColor="text1"/>
          <w:lang w:val="en-US"/>
        </w:rPr>
      </w:pPr>
      <w:r w:rsidRPr="00843E42">
        <w:rPr>
          <w:color w:val="000000" w:themeColor="text1"/>
        </w:rPr>
        <w:t xml:space="preserve">Note: Modifications to parameters in the </w:t>
      </w:r>
      <w:proofErr w:type="spellStart"/>
      <w:r w:rsidRPr="00843E42">
        <w:rPr>
          <w:color w:val="000000" w:themeColor="text1"/>
        </w:rPr>
        <w:t>InF</w:t>
      </w:r>
      <w:proofErr w:type="spellEnd"/>
      <w:r w:rsidRPr="00843E42">
        <w:rPr>
          <w:color w:val="000000" w:themeColor="text1"/>
        </w:rPr>
        <w:t>-DH models will be discussed separately.</w:t>
      </w:r>
    </w:p>
    <w:p w14:paraId="3049003C" w14:textId="77777777" w:rsidR="0086391E" w:rsidRPr="00843E42" w:rsidRDefault="0086391E" w:rsidP="0086391E">
      <w:pPr>
        <w:numPr>
          <w:ilvl w:val="0"/>
          <w:numId w:val="37"/>
        </w:numPr>
        <w:rPr>
          <w:color w:val="000000" w:themeColor="text1"/>
          <w:lang w:val="en-US"/>
        </w:rPr>
      </w:pPr>
      <w:r w:rsidRPr="00843E42">
        <w:rPr>
          <w:color w:val="000000" w:themeColor="text1"/>
        </w:rPr>
        <w:t xml:space="preserve">Note: Target performance and performance gap identification will be discussed separately. </w:t>
      </w:r>
    </w:p>
    <w:p w14:paraId="7B9ABA56" w14:textId="77777777" w:rsidR="0086391E" w:rsidRPr="00843E42" w:rsidRDefault="0086391E" w:rsidP="0086391E">
      <w:pPr>
        <w:numPr>
          <w:ilvl w:val="0"/>
          <w:numId w:val="37"/>
        </w:numPr>
        <w:rPr>
          <w:color w:val="000000" w:themeColor="text1"/>
          <w:lang w:val="en-US"/>
        </w:rPr>
      </w:pPr>
      <w:r w:rsidRPr="00843E42">
        <w:rPr>
          <w:color w:val="000000" w:themeColor="text1"/>
        </w:rPr>
        <w:t xml:space="preserve">Note: Individual companies may consider additional </w:t>
      </w:r>
      <w:proofErr w:type="spellStart"/>
      <w:r w:rsidRPr="00843E42">
        <w:rPr>
          <w:color w:val="000000" w:themeColor="text1"/>
        </w:rPr>
        <w:t>InF</w:t>
      </w:r>
      <w:proofErr w:type="spellEnd"/>
      <w:r w:rsidRPr="00843E42">
        <w:rPr>
          <w:color w:val="000000" w:themeColor="text1"/>
        </w:rPr>
        <w:t xml:space="preserve"> models in TR 38.901 as complementary evaluation scenarios in their simulation investigation and the evaluation results can </w:t>
      </w:r>
      <w:proofErr w:type="gramStart"/>
      <w:r w:rsidRPr="00843E42">
        <w:rPr>
          <w:color w:val="000000" w:themeColor="text1"/>
        </w:rPr>
        <w:t>be considered to be</w:t>
      </w:r>
      <w:proofErr w:type="gramEnd"/>
      <w:r w:rsidRPr="00843E42">
        <w:rPr>
          <w:color w:val="000000" w:themeColor="text1"/>
        </w:rPr>
        <w:t xml:space="preserve"> captured in the TR 38.857.</w:t>
      </w:r>
    </w:p>
    <w:p w14:paraId="79EB77F4" w14:textId="77777777" w:rsidR="0086391E" w:rsidRPr="00843E42" w:rsidRDefault="0086391E" w:rsidP="0086391E">
      <w:pPr>
        <w:numPr>
          <w:ilvl w:val="0"/>
          <w:numId w:val="37"/>
        </w:numPr>
        <w:rPr>
          <w:color w:val="000000" w:themeColor="text1"/>
          <w:lang w:val="en-US"/>
        </w:rPr>
      </w:pPr>
      <w:r w:rsidRPr="00843E42">
        <w:rPr>
          <w:color w:val="000000" w:themeColor="text1"/>
        </w:rPr>
        <w:t>Note: Target positioning requirements may not necessarily be reached for all scenarios.</w:t>
      </w:r>
    </w:p>
    <w:p w14:paraId="5965B3DD" w14:textId="77777777" w:rsidR="0086391E" w:rsidRPr="00843E42" w:rsidRDefault="0086391E" w:rsidP="0086391E">
      <w:pPr>
        <w:rPr>
          <w:color w:val="000000" w:themeColor="text1"/>
          <w:lang w:val="en-US"/>
        </w:rPr>
      </w:pPr>
      <w:r w:rsidRPr="00843E42">
        <w:rPr>
          <w:color w:val="000000" w:themeColor="text1"/>
          <w:highlight w:val="green"/>
          <w:lang w:val="en-US"/>
        </w:rPr>
        <w:t>Agreement</w:t>
      </w:r>
      <w:r w:rsidRPr="00843E42">
        <w:rPr>
          <w:color w:val="000000" w:themeColor="text1"/>
          <w:lang w:val="en-US"/>
        </w:rPr>
        <w:t>:</w:t>
      </w:r>
    </w:p>
    <w:p w14:paraId="2DB2189A" w14:textId="77777777" w:rsidR="0086391E" w:rsidRPr="00843E42" w:rsidRDefault="0086391E" w:rsidP="0086391E">
      <w:pPr>
        <w:numPr>
          <w:ilvl w:val="0"/>
          <w:numId w:val="38"/>
        </w:numPr>
        <w:rPr>
          <w:color w:val="000000" w:themeColor="text1"/>
          <w:lang w:val="en-US"/>
        </w:rPr>
      </w:pPr>
      <w:r w:rsidRPr="00843E42">
        <w:rPr>
          <w:color w:val="000000" w:themeColor="text1"/>
          <w:lang w:val="en-US"/>
        </w:rPr>
        <w:t xml:space="preserve">In Rel-17 SI, for the evaluation of positioning enhancements for commercial use cases, no baseline scenario is defined. </w:t>
      </w:r>
      <w:proofErr w:type="spellStart"/>
      <w:r w:rsidRPr="00843E42">
        <w:rPr>
          <w:color w:val="000000" w:themeColor="text1"/>
          <w:lang w:val="en-US"/>
        </w:rPr>
        <w:t>UMi</w:t>
      </w:r>
      <w:proofErr w:type="spellEnd"/>
      <w:r w:rsidRPr="00843E42">
        <w:rPr>
          <w:color w:val="000000" w:themeColor="text1"/>
          <w:lang w:val="en-US"/>
        </w:rPr>
        <w:t xml:space="preserve">, </w:t>
      </w:r>
      <w:proofErr w:type="spellStart"/>
      <w:r w:rsidRPr="00843E42">
        <w:rPr>
          <w:color w:val="000000" w:themeColor="text1"/>
          <w:lang w:val="en-US"/>
        </w:rPr>
        <w:t>UMa</w:t>
      </w:r>
      <w:proofErr w:type="spellEnd"/>
      <w:r w:rsidRPr="00843E42">
        <w:rPr>
          <w:color w:val="000000" w:themeColor="text1"/>
          <w:lang w:val="en-US"/>
        </w:rPr>
        <w:t xml:space="preserve"> and IOO scenario(s) defined in TR 38.855 can be considered as optional scenarios without modifications to existing configuration parameters. </w:t>
      </w:r>
    </w:p>
    <w:p w14:paraId="24669454" w14:textId="77777777" w:rsidR="0086391E" w:rsidRPr="00843E42" w:rsidRDefault="0086391E" w:rsidP="0086391E">
      <w:pPr>
        <w:numPr>
          <w:ilvl w:val="0"/>
          <w:numId w:val="38"/>
        </w:numPr>
        <w:rPr>
          <w:color w:val="000000" w:themeColor="text1"/>
          <w:lang w:val="en-US"/>
        </w:rPr>
      </w:pPr>
      <w:r w:rsidRPr="00843E42">
        <w:rPr>
          <w:color w:val="000000" w:themeColor="text1"/>
          <w:lang w:val="en-US"/>
        </w:rPr>
        <w:t xml:space="preserve">FFS: absolute time of arrival model for </w:t>
      </w:r>
      <w:proofErr w:type="spellStart"/>
      <w:r w:rsidRPr="00843E42">
        <w:rPr>
          <w:color w:val="000000" w:themeColor="text1"/>
          <w:lang w:val="en-US"/>
        </w:rPr>
        <w:t>UMi</w:t>
      </w:r>
      <w:proofErr w:type="spellEnd"/>
      <w:r w:rsidRPr="00843E42">
        <w:rPr>
          <w:color w:val="000000" w:themeColor="text1"/>
          <w:lang w:val="en-US"/>
        </w:rPr>
        <w:t xml:space="preserve">, </w:t>
      </w:r>
      <w:proofErr w:type="spellStart"/>
      <w:r w:rsidRPr="00843E42">
        <w:rPr>
          <w:color w:val="000000" w:themeColor="text1"/>
          <w:lang w:val="en-US"/>
        </w:rPr>
        <w:t>UMa</w:t>
      </w:r>
      <w:proofErr w:type="spellEnd"/>
      <w:r w:rsidRPr="00843E42">
        <w:rPr>
          <w:color w:val="000000" w:themeColor="text1"/>
          <w:lang w:val="en-US"/>
        </w:rPr>
        <w:t xml:space="preserve"> and IOO scenarios</w:t>
      </w:r>
    </w:p>
    <w:p w14:paraId="0E551FD4" w14:textId="77777777" w:rsidR="0086391E" w:rsidRPr="00E2789D" w:rsidRDefault="0086391E" w:rsidP="0086391E">
      <w:pPr>
        <w:pStyle w:val="Heading1"/>
        <w:rPr>
          <w:color w:val="000000" w:themeColor="text1"/>
        </w:rPr>
      </w:pPr>
      <w:r w:rsidRPr="00E2789D">
        <w:rPr>
          <w:color w:val="000000" w:themeColor="text1"/>
        </w:rPr>
        <w:t>Discussion</w:t>
      </w:r>
    </w:p>
    <w:bookmarkEnd w:id="0"/>
    <w:p w14:paraId="4DE98148" w14:textId="693FFB69" w:rsidR="0086391E" w:rsidRDefault="0086391E" w:rsidP="0086391E">
      <w:r>
        <w:t xml:space="preserve">Good progress was made on the scenarios at RAN1#101-e and in this </w:t>
      </w:r>
      <w:proofErr w:type="gramStart"/>
      <w:r>
        <w:t>contribution</w:t>
      </w:r>
      <w:proofErr w:type="gramEnd"/>
      <w:r>
        <w:t xml:space="preserve"> we focus on the small remaining details.</w:t>
      </w:r>
    </w:p>
    <w:p w14:paraId="121181E6" w14:textId="77777777" w:rsidR="0086391E" w:rsidRPr="004C4BEF" w:rsidRDefault="0086391E" w:rsidP="0086391E">
      <w:pPr>
        <w:rPr>
          <w:b/>
          <w:bCs/>
          <w:u w:val="single"/>
          <w:lang w:val="fi-FI"/>
        </w:rPr>
      </w:pPr>
      <w:proofErr w:type="spellStart"/>
      <w:r>
        <w:rPr>
          <w:b/>
          <w:bCs/>
          <w:u w:val="single"/>
          <w:lang w:val="fi-FI"/>
        </w:rPr>
        <w:t>Absolute</w:t>
      </w:r>
      <w:proofErr w:type="spellEnd"/>
      <w:r>
        <w:rPr>
          <w:b/>
          <w:bCs/>
          <w:u w:val="single"/>
          <w:lang w:val="fi-FI"/>
        </w:rPr>
        <w:t xml:space="preserve"> </w:t>
      </w:r>
      <w:proofErr w:type="spellStart"/>
      <w:r>
        <w:rPr>
          <w:b/>
          <w:bCs/>
          <w:u w:val="single"/>
          <w:lang w:val="fi-FI"/>
        </w:rPr>
        <w:t>time</w:t>
      </w:r>
      <w:proofErr w:type="spellEnd"/>
      <w:r>
        <w:rPr>
          <w:b/>
          <w:bCs/>
          <w:u w:val="single"/>
          <w:lang w:val="fi-FI"/>
        </w:rPr>
        <w:t xml:space="preserve"> </w:t>
      </w:r>
      <w:proofErr w:type="spellStart"/>
      <w:r>
        <w:rPr>
          <w:b/>
          <w:bCs/>
          <w:u w:val="single"/>
          <w:lang w:val="fi-FI"/>
        </w:rPr>
        <w:t>arrival</w:t>
      </w:r>
      <w:proofErr w:type="spellEnd"/>
      <w:r>
        <w:rPr>
          <w:b/>
          <w:bCs/>
          <w:u w:val="single"/>
          <w:lang w:val="fi-FI"/>
        </w:rPr>
        <w:t xml:space="preserve"> </w:t>
      </w:r>
      <w:proofErr w:type="spellStart"/>
      <w:r>
        <w:rPr>
          <w:b/>
          <w:bCs/>
          <w:u w:val="single"/>
          <w:lang w:val="fi-FI"/>
        </w:rPr>
        <w:t>models</w:t>
      </w:r>
      <w:proofErr w:type="spellEnd"/>
      <w:r>
        <w:rPr>
          <w:b/>
          <w:bCs/>
          <w:u w:val="single"/>
          <w:lang w:val="fi-FI"/>
        </w:rPr>
        <w:t xml:space="preserve"> for </w:t>
      </w:r>
      <w:proofErr w:type="spellStart"/>
      <w:r w:rsidRPr="004C4BEF">
        <w:rPr>
          <w:b/>
          <w:bCs/>
          <w:u w:val="single"/>
          <w:lang w:val="fi-FI"/>
        </w:rPr>
        <w:t>UMi</w:t>
      </w:r>
      <w:proofErr w:type="spellEnd"/>
      <w:r w:rsidRPr="004C4BEF">
        <w:rPr>
          <w:b/>
          <w:bCs/>
          <w:u w:val="single"/>
          <w:lang w:val="fi-FI"/>
        </w:rPr>
        <w:t xml:space="preserve">, </w:t>
      </w:r>
      <w:proofErr w:type="spellStart"/>
      <w:r w:rsidRPr="004C4BEF">
        <w:rPr>
          <w:b/>
          <w:bCs/>
          <w:u w:val="single"/>
          <w:lang w:val="fi-FI"/>
        </w:rPr>
        <w:t>UMa</w:t>
      </w:r>
      <w:proofErr w:type="spellEnd"/>
      <w:r w:rsidRPr="004C4BEF">
        <w:rPr>
          <w:b/>
          <w:bCs/>
          <w:u w:val="single"/>
          <w:lang w:val="fi-FI"/>
        </w:rPr>
        <w:t>, and IOO</w:t>
      </w:r>
      <w:r>
        <w:rPr>
          <w:b/>
          <w:bCs/>
          <w:u w:val="single"/>
          <w:lang w:val="fi-FI"/>
        </w:rPr>
        <w:t xml:space="preserve"> </w:t>
      </w:r>
    </w:p>
    <w:p w14:paraId="44B106C2" w14:textId="77777777" w:rsidR="0086391E" w:rsidRDefault="0086391E" w:rsidP="0086391E">
      <w:r>
        <w:t xml:space="preserve">While the absolute time of arrival is an important component to model it may be difficult to directly apply the model to the other scenarios such as </w:t>
      </w:r>
      <w:proofErr w:type="spellStart"/>
      <w:r>
        <w:t>UMa</w:t>
      </w:r>
      <w:proofErr w:type="spellEnd"/>
      <w:r>
        <w:t xml:space="preserve"> or </w:t>
      </w:r>
      <w:proofErr w:type="spellStart"/>
      <w:r>
        <w:t>UMi</w:t>
      </w:r>
      <w:proofErr w:type="spellEnd"/>
      <w:r>
        <w:t xml:space="preserve">. The model for </w:t>
      </w:r>
      <w:proofErr w:type="spellStart"/>
      <w:r>
        <w:t>IIoT</w:t>
      </w:r>
      <w:proofErr w:type="spellEnd"/>
      <w:r>
        <w:t xml:space="preserve"> was developed for that scenario specifically. The </w:t>
      </w:r>
      <w:proofErr w:type="spellStart"/>
      <w:r>
        <w:t>IIoT</w:t>
      </w:r>
      <w:proofErr w:type="spellEnd"/>
      <w:r>
        <w:t xml:space="preserve"> scenario is also the scenario where modelling the absolute time of arrival is the most important as that scenario has the most stringent requirements. </w:t>
      </w:r>
    </w:p>
    <w:p w14:paraId="4368C7F5" w14:textId="0CA6E653" w:rsidR="0086391E" w:rsidRPr="004C4BEF" w:rsidRDefault="0086391E" w:rsidP="0086391E">
      <w:pPr>
        <w:rPr>
          <w:lang w:val="fi-FI"/>
        </w:rPr>
      </w:pPr>
      <w:r>
        <w:t xml:space="preserve">The time budget for the SI is also quite short so it seems very difficult for RAN1 to define new absolute </w:t>
      </w:r>
      <w:proofErr w:type="spellStart"/>
      <w:r>
        <w:t>ToA</w:t>
      </w:r>
      <w:proofErr w:type="spellEnd"/>
      <w:r>
        <w:t xml:space="preserve"> models for multiple scenarios. RAN1 should focus on the most critical issues and defining a new absolute </w:t>
      </w:r>
      <w:proofErr w:type="spellStart"/>
      <w:r>
        <w:t>ToA</w:t>
      </w:r>
      <w:proofErr w:type="spellEnd"/>
      <w:r>
        <w:t xml:space="preserve"> model for an optional scenario (agreed to have no baseline for commercial use cases) should not be a priority. </w:t>
      </w:r>
    </w:p>
    <w:p w14:paraId="25CBD301" w14:textId="79DEB6F2" w:rsidR="0086391E" w:rsidRDefault="0086391E" w:rsidP="0086391E">
      <w:pPr>
        <w:rPr>
          <w:lang w:val="fi-FI"/>
        </w:rPr>
      </w:pPr>
      <w:proofErr w:type="spellStart"/>
      <w:r w:rsidRPr="00DD80A9">
        <w:rPr>
          <w:lang w:val="fi-FI"/>
        </w:rPr>
        <w:t>Normal</w:t>
      </w:r>
      <w:proofErr w:type="spellEnd"/>
      <w:r w:rsidRPr="00DD80A9">
        <w:rPr>
          <w:lang w:val="fi-FI"/>
        </w:rPr>
        <w:t xml:space="preserve"> NLOS </w:t>
      </w:r>
      <w:proofErr w:type="spellStart"/>
      <w:r w:rsidRPr="00DD80A9">
        <w:rPr>
          <w:lang w:val="fi-FI"/>
        </w:rPr>
        <w:t>channel</w:t>
      </w:r>
      <w:proofErr w:type="spellEnd"/>
      <w:r w:rsidRPr="00DD80A9">
        <w:rPr>
          <w:lang w:val="fi-FI"/>
        </w:rPr>
        <w:t xml:space="preserve">       :  </w:t>
      </w:r>
    </w:p>
    <w:p w14:paraId="6E9E7908" w14:textId="3489FFFD" w:rsidR="00763EC6" w:rsidRPr="004C4BEF" w:rsidRDefault="00FE7CAA" w:rsidP="00763EC6">
      <w:pPr>
        <w:rPr>
          <w:lang w:val="fi-FI"/>
        </w:rPr>
      </w:pPr>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2</m:t>
              </m:r>
            </m:sup>
            <m:e>
              <m:nary>
                <m:naryPr>
                  <m:chr m:val="∑"/>
                  <m:limLoc m:val="undOvr"/>
                  <m:ctrlPr>
                    <w:rPr>
                      <w:rFonts w:ascii="Cambria Math" w:hAnsi="Cambria Math"/>
                      <w:i/>
                    </w:rPr>
                  </m:ctrlPr>
                </m:naryPr>
                <m:sub>
                  <m:r>
                    <w:rPr>
                      <w:rFonts w:ascii="Cambria Math" w:hAnsi="Cambria Math"/>
                    </w:rPr>
                    <m:t>i=1</m:t>
                  </m:r>
                </m:sub>
                <m:sup>
                  <m:r>
                    <w:rPr>
                      <w:rFonts w:ascii="Cambria Math" w:hAnsi="Cambria Math"/>
                    </w:rPr>
                    <m:t>3</m:t>
                  </m:r>
                </m:sup>
                <m:e>
                  <m:nary>
                    <m:naryPr>
                      <m:chr m:val="∑"/>
                      <m:limLoc m:val="undOvr"/>
                      <m:supHide m:val="1"/>
                      <m:ctrlPr>
                        <w:rPr>
                          <w:rFonts w:ascii="Cambria Math" w:hAnsi="Cambria Math"/>
                          <w:i/>
                        </w:rPr>
                      </m:ctrlPr>
                    </m:naryPr>
                    <m:sub>
                      <m:r>
                        <w:rPr>
                          <w:rFonts w:ascii="Cambria Math" w:hAnsi="Cambria Math"/>
                        </w:rPr>
                        <m:t>m∈</m:t>
                      </m:r>
                      <m:sSub>
                        <m:sSubPr>
                          <m:ctrlPr>
                            <w:rPr>
                              <w:rFonts w:ascii="Cambria Math" w:hAnsi="Cambria Math"/>
                              <w:i/>
                            </w:rPr>
                          </m:ctrlPr>
                        </m:sSubPr>
                        <m:e>
                          <m:r>
                            <w:rPr>
                              <w:rFonts w:ascii="Cambria Math" w:hAnsi="Cambria Math"/>
                            </w:rPr>
                            <m:t>R</m:t>
                          </m:r>
                        </m:e>
                        <m:sub>
                          <m:r>
                            <w:rPr>
                              <w:rFonts w:ascii="Cambria Math" w:hAnsi="Cambria Math"/>
                            </w:rPr>
                            <m:t>i</m:t>
                          </m:r>
                        </m:sub>
                      </m:sSub>
                    </m:sub>
                    <m:sup/>
                    <m:e>
                      <m:sSubSup>
                        <m:sSubSupPr>
                          <m:ctrlPr>
                            <w:rPr>
                              <w:rFonts w:ascii="Cambria Math" w:hAnsi="Cambria Math"/>
                              <w:i/>
                            </w:rPr>
                          </m:ctrlPr>
                        </m:sSubSupPr>
                        <m:e>
                          <m:r>
                            <w:rPr>
                              <w:rFonts w:ascii="Cambria Math" w:hAnsi="Cambria Math"/>
                            </w:rPr>
                            <m:t>H</m:t>
                          </m:r>
                        </m:e>
                        <m:sub>
                          <m:r>
                            <w:rPr>
                              <w:rFonts w:ascii="Cambria Math" w:hAnsi="Cambria Math"/>
                            </w:rPr>
                            <m:t>u,s,n,m</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n,i</m:t>
                              </m:r>
                            </m:sub>
                          </m:sSub>
                        </m:e>
                      </m:d>
                    </m:e>
                  </m:nary>
                </m:e>
              </m:nary>
            </m:e>
          </m:nary>
          <m:r>
            <w:rPr>
              <w:rFonts w:ascii="Cambria Math" w:hAnsi="Cambria Math"/>
            </w:rPr>
            <m:t>+</m:t>
          </m:r>
          <m:nary>
            <m:naryPr>
              <m:chr m:val="∑"/>
              <m:limLoc m:val="undOvr"/>
              <m:ctrlPr>
                <w:rPr>
                  <w:rFonts w:ascii="Cambria Math" w:hAnsi="Cambria Math"/>
                  <w:i/>
                </w:rPr>
              </m:ctrlPr>
            </m:naryPr>
            <m:sub>
              <m:r>
                <w:rPr>
                  <w:rFonts w:ascii="Cambria Math" w:hAnsi="Cambria Math"/>
                </w:rPr>
                <m:t>n=3</m:t>
              </m:r>
            </m:sub>
            <m:sup>
              <m:r>
                <w:rPr>
                  <w:rFonts w:ascii="Cambria Math" w:hAnsi="Cambria Math"/>
                </w:rPr>
                <m:t>N</m:t>
              </m:r>
            </m:sup>
            <m:e>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t>
                      </m:r>
                    </m:sub>
                  </m:sSub>
                </m:e>
              </m:d>
            </m:e>
          </m:nary>
        </m:oMath>
      </m:oMathPara>
    </w:p>
    <w:p w14:paraId="176A8E67" w14:textId="3E301163" w:rsidR="0086391E" w:rsidRDefault="0086391E" w:rsidP="0086391E">
      <w:pPr>
        <w:rPr>
          <w:lang w:val="fi-FI"/>
        </w:rPr>
      </w:pPr>
      <w:proofErr w:type="spellStart"/>
      <w:r w:rsidRPr="00DD80A9">
        <w:rPr>
          <w:lang w:val="fi-FI"/>
        </w:rPr>
        <w:t>Absolute</w:t>
      </w:r>
      <w:proofErr w:type="spellEnd"/>
      <w:r w:rsidRPr="00DD80A9">
        <w:rPr>
          <w:lang w:val="fi-FI"/>
        </w:rPr>
        <w:t xml:space="preserve"> </w:t>
      </w:r>
      <w:proofErr w:type="spellStart"/>
      <w:r w:rsidRPr="00DD80A9">
        <w:rPr>
          <w:lang w:val="fi-FI"/>
        </w:rPr>
        <w:t>time</w:t>
      </w:r>
      <w:proofErr w:type="spellEnd"/>
      <w:r w:rsidRPr="00DD80A9">
        <w:rPr>
          <w:lang w:val="fi-FI"/>
        </w:rPr>
        <w:t xml:space="preserve"> NLOS </w:t>
      </w:r>
      <w:proofErr w:type="spellStart"/>
      <w:r w:rsidRPr="00DD80A9">
        <w:rPr>
          <w:lang w:val="fi-FI"/>
        </w:rPr>
        <w:t>channel</w:t>
      </w:r>
      <w:proofErr w:type="spellEnd"/>
      <w:r w:rsidRPr="00DD80A9">
        <w:rPr>
          <w:lang w:val="fi-FI"/>
        </w:rPr>
        <w:t xml:space="preserve">  :  </w:t>
      </w:r>
    </w:p>
    <w:p w14:paraId="57AB0E46" w14:textId="282EB181" w:rsidR="00763EC6" w:rsidRPr="00763EC6" w:rsidRDefault="00FE7CAA" w:rsidP="0086391E">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2</m:t>
              </m:r>
            </m:sup>
            <m:e>
              <m:nary>
                <m:naryPr>
                  <m:chr m:val="∑"/>
                  <m:limLoc m:val="undOvr"/>
                  <m:ctrlPr>
                    <w:rPr>
                      <w:rFonts w:ascii="Cambria Math" w:hAnsi="Cambria Math"/>
                      <w:i/>
                    </w:rPr>
                  </m:ctrlPr>
                </m:naryPr>
                <m:sub>
                  <m:r>
                    <w:rPr>
                      <w:rFonts w:ascii="Cambria Math" w:hAnsi="Cambria Math"/>
                    </w:rPr>
                    <m:t>i=1</m:t>
                  </m:r>
                </m:sub>
                <m:sup>
                  <m:r>
                    <w:rPr>
                      <w:rFonts w:ascii="Cambria Math" w:hAnsi="Cambria Math"/>
                    </w:rPr>
                    <m:t>3</m:t>
                  </m:r>
                </m:sup>
                <m:e>
                  <m:nary>
                    <m:naryPr>
                      <m:chr m:val="∑"/>
                      <m:limLoc m:val="undOvr"/>
                      <m:supHide m:val="1"/>
                      <m:ctrlPr>
                        <w:rPr>
                          <w:rFonts w:ascii="Cambria Math" w:hAnsi="Cambria Math"/>
                          <w:i/>
                        </w:rPr>
                      </m:ctrlPr>
                    </m:naryPr>
                    <m:sub>
                      <m:r>
                        <w:rPr>
                          <w:rFonts w:ascii="Cambria Math" w:hAnsi="Cambria Math"/>
                        </w:rPr>
                        <m:t>m∈</m:t>
                      </m:r>
                      <m:sSub>
                        <m:sSubPr>
                          <m:ctrlPr>
                            <w:rPr>
                              <w:rFonts w:ascii="Cambria Math" w:hAnsi="Cambria Math"/>
                              <w:i/>
                            </w:rPr>
                          </m:ctrlPr>
                        </m:sSubPr>
                        <m:e>
                          <m:r>
                            <w:rPr>
                              <w:rFonts w:ascii="Cambria Math" w:hAnsi="Cambria Math"/>
                            </w:rPr>
                            <m:t>R</m:t>
                          </m:r>
                        </m:e>
                        <m:sub>
                          <m:r>
                            <w:rPr>
                              <w:rFonts w:ascii="Cambria Math" w:hAnsi="Cambria Math"/>
                            </w:rPr>
                            <m:t>i</m:t>
                          </m:r>
                        </m:sub>
                      </m:sSub>
                    </m:sub>
                    <m:sup/>
                    <m:e>
                      <m:sSubSup>
                        <m:sSubSupPr>
                          <m:ctrlPr>
                            <w:rPr>
                              <w:rFonts w:ascii="Cambria Math" w:hAnsi="Cambria Math"/>
                              <w:i/>
                            </w:rPr>
                          </m:ctrlPr>
                        </m:sSubSupPr>
                        <m:e>
                          <m:r>
                            <w:rPr>
                              <w:rFonts w:ascii="Cambria Math" w:hAnsi="Cambria Math"/>
                            </w:rPr>
                            <m:t>H</m:t>
                          </m:r>
                        </m:e>
                        <m:sub>
                          <m:r>
                            <w:rPr>
                              <w:rFonts w:ascii="Cambria Math" w:hAnsi="Cambria Math"/>
                            </w:rPr>
                            <m:t>u,s,n,m</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n,i</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r>
                            <w:rPr>
                              <w:rFonts w:ascii="Cambria Math" w:hAnsi="Cambria Math"/>
                            </w:rPr>
                            <m:t>-</m:t>
                          </m:r>
                          <m:r>
                            <m:rPr>
                              <m:sty m:val="p"/>
                            </m:rPr>
                            <w:rPr>
                              <w:rFonts w:ascii="Cambria Math" w:hAnsi="Cambria Math"/>
                            </w:rPr>
                            <m:t>Δ</m:t>
                          </m:r>
                          <m:r>
                            <w:rPr>
                              <w:rFonts w:ascii="Cambria Math" w:hAnsi="Cambria Math"/>
                            </w:rPr>
                            <m:t>τ</m:t>
                          </m:r>
                        </m:e>
                      </m:d>
                    </m:e>
                  </m:nary>
                </m:e>
              </m:nary>
            </m:e>
          </m:nary>
          <m:r>
            <w:rPr>
              <w:rFonts w:ascii="Cambria Math" w:hAnsi="Cambria Math"/>
            </w:rPr>
            <m:t>+</m:t>
          </m:r>
          <m:nary>
            <m:naryPr>
              <m:chr m:val="∑"/>
              <m:limLoc m:val="undOvr"/>
              <m:ctrlPr>
                <w:rPr>
                  <w:rFonts w:ascii="Cambria Math" w:hAnsi="Cambria Math"/>
                  <w:i/>
                </w:rPr>
              </m:ctrlPr>
            </m:naryPr>
            <m:sub>
              <m:r>
                <w:rPr>
                  <w:rFonts w:ascii="Cambria Math" w:hAnsi="Cambria Math"/>
                </w:rPr>
                <m:t>n=3</m:t>
              </m:r>
            </m:sub>
            <m:sup>
              <m:r>
                <w:rPr>
                  <w:rFonts w:ascii="Cambria Math" w:hAnsi="Cambria Math"/>
                </w:rPr>
                <m:t>N</m:t>
              </m:r>
            </m:sup>
            <m:e>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r>
                    <w:rPr>
                      <w:rFonts w:ascii="Cambria Math" w:hAnsi="Cambria Math"/>
                    </w:rPr>
                    <m:t>-</m:t>
                  </m:r>
                  <m:r>
                    <m:rPr>
                      <m:sty m:val="p"/>
                    </m:rPr>
                    <w:rPr>
                      <w:rFonts w:ascii="Cambria Math" w:hAnsi="Cambria Math"/>
                    </w:rPr>
                    <m:t>Δ</m:t>
                  </m:r>
                  <m:r>
                    <w:rPr>
                      <w:rFonts w:ascii="Cambria Math" w:hAnsi="Cambria Math"/>
                    </w:rPr>
                    <m:t>τ</m:t>
                  </m:r>
                </m:e>
              </m:d>
            </m:e>
          </m:nary>
        </m:oMath>
      </m:oMathPara>
    </w:p>
    <w:p w14:paraId="763C04C0" w14:textId="02A29D5F" w:rsidR="0086391E" w:rsidRDefault="00763EC6" w:rsidP="0086391E">
      <w:pPr>
        <w:rPr>
          <w:lang w:val="fi-FI"/>
        </w:rPr>
      </w:pPr>
      <w:proofErr w:type="spellStart"/>
      <w:r>
        <w:rPr>
          <w:lang w:val="fi-FI"/>
        </w:rPr>
        <w:t>The</w:t>
      </w:r>
      <w:proofErr w:type="spellEnd"/>
      <w:r>
        <w:rPr>
          <w:lang w:val="fi-FI"/>
        </w:rPr>
        <w:t xml:space="preserve"> </w:t>
      </w:r>
      <w:proofErr w:type="spellStart"/>
      <w:r>
        <w:rPr>
          <w:lang w:val="fi-FI"/>
        </w:rPr>
        <w:t>parameter</w:t>
      </w:r>
      <w:proofErr w:type="spellEnd"/>
      <w:r>
        <w:rPr>
          <w:lang w:val="fi-FI"/>
        </w:rPr>
        <w:t xml:space="preserve"> </w:t>
      </w:r>
      <m:oMath>
        <m:r>
          <m:rPr>
            <m:sty m:val="b"/>
          </m:rPr>
          <w:rPr>
            <w:rFonts w:ascii="Cambria Math" w:hAnsi="Cambria Math"/>
          </w:rPr>
          <m:t>Δ</m:t>
        </m:r>
        <m:r>
          <m:rPr>
            <m:sty m:val="bi"/>
          </m:rPr>
          <w:rPr>
            <w:rFonts w:ascii="Cambria Math" w:hAnsi="Cambria Math"/>
          </w:rPr>
          <m:t>τ</m:t>
        </m:r>
      </m:oMath>
      <w:r w:rsidR="0086391E" w:rsidRPr="004C4BEF">
        <w:t xml:space="preserve"> is generated from </w:t>
      </w:r>
      <w:r w:rsidR="0086391E" w:rsidRPr="00A16365">
        <w:t>a lognormal</w:t>
      </w:r>
      <w:r w:rsidR="0086391E" w:rsidRPr="004C4BEF">
        <w:t xml:space="preserve"> </w:t>
      </w:r>
      <w:r w:rsidR="0086391E" w:rsidRPr="00A26710">
        <w:t xml:space="preserve">distribution </w:t>
      </w:r>
      <w:r w:rsidR="0086391E" w:rsidRPr="00763EC6">
        <w:t xml:space="preserve">with parameters according to Table 7.6.9-1. </w:t>
      </w:r>
      <m:oMath>
        <m:r>
          <m:rPr>
            <m:sty m:val="b"/>
          </m:rPr>
          <w:rPr>
            <w:rFonts w:ascii="Cambria Math" w:hAnsi="Cambria Math"/>
          </w:rPr>
          <m:t>Δ</m:t>
        </m:r>
        <m:r>
          <m:rPr>
            <m:sty m:val="bi"/>
          </m:rPr>
          <w:rPr>
            <w:rFonts w:ascii="Cambria Math" w:hAnsi="Cambria Math"/>
          </w:rPr>
          <m:t>τ</m:t>
        </m:r>
      </m:oMath>
      <w:r w:rsidR="0086391E" w:rsidRPr="00763EC6">
        <w:t xml:space="preserve"> is generated independently for links between the same UT and different BS sites. </w:t>
      </w:r>
      <w:r w:rsidR="0086391E" w:rsidRPr="00CA1587">
        <w:t>We propose that the excess</w:t>
      </w:r>
      <w:r w:rsidR="0086391E" w:rsidRPr="00CA1587">
        <w:rPr>
          <w:lang w:val="en-US" w:eastAsia="ko-KR"/>
        </w:rPr>
        <w:t xml:space="preserve"> delay </w:t>
      </w:r>
      <m:oMath>
        <m:r>
          <m:rPr>
            <m:sty m:val="b"/>
          </m:rPr>
          <w:rPr>
            <w:rFonts w:ascii="Cambria Math" w:hAnsi="Cambria Math"/>
          </w:rPr>
          <m:t>Δ</m:t>
        </m:r>
        <m:r>
          <m:rPr>
            <m:sty m:val="bi"/>
          </m:rPr>
          <w:rPr>
            <w:rFonts w:ascii="Cambria Math" w:hAnsi="Cambria Math"/>
          </w:rPr>
          <m:t>τ</m:t>
        </m:r>
      </m:oMath>
      <w:r w:rsidR="0086391E" w:rsidRPr="00CA1587">
        <w:rPr>
          <w:lang w:val="en-US" w:eastAsia="ko-KR"/>
        </w:rPr>
        <w:t xml:space="preserve"> in NLOS can be ignored for UMi, UMa, and IOO for simplified models, since the RAN1 time budget is quite short to define the new </w:t>
      </w:r>
      <w:r w:rsidR="0086391E" w:rsidRPr="00CA1587">
        <w:t>lognormal distributions for the additional studies.</w:t>
      </w:r>
    </w:p>
    <w:p w14:paraId="6F99018E" w14:textId="04CE808B" w:rsidR="00763EC6" w:rsidRDefault="00763EC6" w:rsidP="00763EC6">
      <w:r w:rsidRPr="008302B5">
        <w:rPr>
          <w:b/>
          <w:bCs/>
        </w:rPr>
        <w:t xml:space="preserve">Proposal </w:t>
      </w:r>
      <w:r w:rsidR="00FF11B9">
        <w:rPr>
          <w:b/>
          <w:bCs/>
        </w:rPr>
        <w:t>1</w:t>
      </w:r>
      <w:r>
        <w:t xml:space="preserve">: Approximate absolute time of arrival models for </w:t>
      </w:r>
      <w:proofErr w:type="spellStart"/>
      <w:r>
        <w:t>UMi</w:t>
      </w:r>
      <w:proofErr w:type="spellEnd"/>
      <w:r>
        <w:t xml:space="preserve">, </w:t>
      </w:r>
      <w:proofErr w:type="spellStart"/>
      <w:r>
        <w:t>UMa</w:t>
      </w:r>
      <w:proofErr w:type="spellEnd"/>
      <w:r>
        <w:t>, and IOO scenarios are applicable</w:t>
      </w:r>
      <w:r w:rsidR="00BA450B">
        <w:t xml:space="preserve"> however,</w:t>
      </w:r>
      <w:r>
        <w:t xml:space="preserve"> </w:t>
      </w:r>
      <w:r w:rsidR="00BA450B">
        <w:t xml:space="preserve">some </w:t>
      </w:r>
      <w:r>
        <w:t xml:space="preserve">parameters of the absolute time of arrival models </w:t>
      </w:r>
      <w:r w:rsidR="00855D1D">
        <w:t xml:space="preserve">are </w:t>
      </w:r>
      <w:r>
        <w:t xml:space="preserve">left to individual companies.   </w:t>
      </w:r>
    </w:p>
    <w:p w14:paraId="5BDD9799" w14:textId="383F3A3D" w:rsidR="00763EC6" w:rsidRPr="00CA1587" w:rsidRDefault="00763EC6" w:rsidP="00763EC6">
      <w:pPr>
        <w:pStyle w:val="ListParagraph"/>
        <w:numPr>
          <w:ilvl w:val="0"/>
          <w:numId w:val="45"/>
        </w:numPr>
        <w:rPr>
          <w:sz w:val="20"/>
          <w:szCs w:val="20"/>
        </w:rPr>
      </w:pPr>
      <w:r w:rsidRPr="004C4BEF">
        <w:rPr>
          <w:sz w:val="20"/>
          <w:szCs w:val="20"/>
        </w:rPr>
        <w:t xml:space="preserve">One </w:t>
      </w:r>
      <w:proofErr w:type="spellStart"/>
      <w:r w:rsidRPr="004C4BEF">
        <w:rPr>
          <w:sz w:val="20"/>
          <w:szCs w:val="20"/>
        </w:rPr>
        <w:t>way</w:t>
      </w:r>
      <w:proofErr w:type="spellEnd"/>
      <w:r w:rsidRPr="004C4BEF">
        <w:rPr>
          <w:sz w:val="20"/>
          <w:szCs w:val="20"/>
        </w:rPr>
        <w:t xml:space="preserve"> is to </w:t>
      </w:r>
      <w:proofErr w:type="spellStart"/>
      <w:r w:rsidRPr="004C4BEF">
        <w:rPr>
          <w:sz w:val="20"/>
          <w:szCs w:val="20"/>
        </w:rPr>
        <w:t>add</w:t>
      </w:r>
      <w:proofErr w:type="spellEnd"/>
      <w:r w:rsidRPr="004C4BEF">
        <w:rPr>
          <w:sz w:val="20"/>
          <w:szCs w:val="20"/>
        </w:rPr>
        <w:t xml:space="preserve"> </w:t>
      </w:r>
      <w:r>
        <w:rPr>
          <w:sz w:val="20"/>
          <w:szCs w:val="20"/>
        </w:rPr>
        <w:t xml:space="preserve">an </w:t>
      </w:r>
      <w:proofErr w:type="spellStart"/>
      <w:r w:rsidRPr="004C4BEF">
        <w:rPr>
          <w:sz w:val="20"/>
          <w:szCs w:val="20"/>
        </w:rPr>
        <w:t>additional</w:t>
      </w:r>
      <w:proofErr w:type="spellEnd"/>
      <w:r w:rsidRPr="004C4BEF">
        <w:rPr>
          <w:sz w:val="20"/>
          <w:szCs w:val="20"/>
        </w:rPr>
        <w:t xml:space="preserve"> </w:t>
      </w:r>
      <w:proofErr w:type="spellStart"/>
      <w:r w:rsidRPr="004C4BEF">
        <w:rPr>
          <w:sz w:val="20"/>
          <w:szCs w:val="20"/>
        </w:rPr>
        <w:t>delay</w:t>
      </w:r>
      <w:proofErr w:type="spellEnd"/>
      <w:r w:rsidRPr="004C4BEF">
        <w:rPr>
          <w:sz w:val="20"/>
          <w:szCs w:val="20"/>
        </w:rPr>
        <w:t xml:space="preserve"> </w:t>
      </w:r>
      <w:proofErr w:type="spellStart"/>
      <w:r w:rsidRPr="004C4BEF">
        <w:rPr>
          <w:sz w:val="20"/>
          <w:szCs w:val="20"/>
        </w:rPr>
        <w:t>with</w:t>
      </w:r>
      <w:proofErr w:type="spellEnd"/>
      <w:r w:rsidRPr="004C4BEF">
        <w:rPr>
          <w:sz w:val="20"/>
          <w:szCs w:val="20"/>
        </w:rPr>
        <w:t xml:space="preserve"> </w:t>
      </w:r>
      <w:proofErr w:type="spellStart"/>
      <w:r w:rsidRPr="004C4BEF">
        <w:rPr>
          <w:sz w:val="20"/>
          <w:szCs w:val="20"/>
        </w:rPr>
        <w:t>absolute</w:t>
      </w:r>
      <w:proofErr w:type="spellEnd"/>
      <w:r w:rsidRPr="004C4BEF">
        <w:rPr>
          <w:sz w:val="20"/>
          <w:szCs w:val="20"/>
        </w:rPr>
        <w:t xml:space="preserve"> </w:t>
      </w:r>
      <w:r w:rsidR="00BA450B">
        <w:rPr>
          <w:sz w:val="20"/>
          <w:szCs w:val="20"/>
        </w:rPr>
        <w:t xml:space="preserve">LOS </w:t>
      </w:r>
      <w:proofErr w:type="spellStart"/>
      <w:r w:rsidR="00BA450B">
        <w:rPr>
          <w:sz w:val="20"/>
          <w:szCs w:val="20"/>
        </w:rPr>
        <w:t>delay</w:t>
      </w:r>
      <w:proofErr w:type="spellEnd"/>
      <w:r w:rsidRPr="004C4BEF">
        <w:rPr>
          <w:sz w:val="20"/>
          <w:szCs w:val="20"/>
        </w:rPr>
        <w:t xml:space="preserve"> </w:t>
      </w:r>
      <m:oMath>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num>
          <m:den>
            <m:r>
              <w:rPr>
                <w:rFonts w:ascii="Cambria Math" w:hAnsi="Cambria Math"/>
                <w:sz w:val="20"/>
                <w:szCs w:val="20"/>
              </w:rPr>
              <m:t>c</m:t>
            </m:r>
          </m:den>
        </m:f>
        <m:r>
          <w:rPr>
            <w:rFonts w:ascii="Cambria Math" w:hAnsi="Cambria Math"/>
            <w:sz w:val="20"/>
            <w:szCs w:val="20"/>
          </w:rPr>
          <m:t xml:space="preserve"> </m:t>
        </m:r>
      </m:oMath>
      <w:r w:rsidRPr="004C4BEF">
        <w:rPr>
          <w:sz w:val="20"/>
          <w:szCs w:val="20"/>
        </w:rPr>
        <w:t xml:space="preserve"> to LOS and NLOS fast fading channels to </w:t>
      </w:r>
      <w:r w:rsidRPr="004C4BEF">
        <w:rPr>
          <w:sz w:val="20"/>
          <w:szCs w:val="20"/>
          <w:lang w:val="en-US" w:eastAsia="ko-KR"/>
        </w:rPr>
        <w:t>(7.5-27) and (7.5-30)</w:t>
      </w:r>
      <w:r w:rsidRPr="004C4BEF">
        <w:rPr>
          <w:sz w:val="20"/>
          <w:szCs w:val="20"/>
          <w:lang w:val="en-US"/>
        </w:rPr>
        <w:t xml:space="preserve"> </w:t>
      </w:r>
      <w:r>
        <w:rPr>
          <w:sz w:val="20"/>
          <w:szCs w:val="20"/>
          <w:lang w:val="en-US"/>
        </w:rPr>
        <w:t xml:space="preserve">respectively </w:t>
      </w:r>
      <w:r w:rsidRPr="004C4BEF">
        <w:rPr>
          <w:sz w:val="20"/>
          <w:szCs w:val="20"/>
          <w:lang w:val="en-US"/>
        </w:rPr>
        <w:t>in TR38.901.</w:t>
      </w:r>
    </w:p>
    <w:p w14:paraId="2D321961" w14:textId="61DDD095" w:rsidR="00FB1594" w:rsidRPr="00CA1587" w:rsidRDefault="00763EC6" w:rsidP="00CA1587">
      <w:pPr>
        <w:pStyle w:val="ListParagraph"/>
        <w:ind w:left="640"/>
        <w:rPr>
          <w:sz w:val="20"/>
          <w:szCs w:val="20"/>
          <w:lang w:val="en-US" w:eastAsia="ko-KR"/>
        </w:rPr>
      </w:pPr>
      <w:r w:rsidRPr="00CA1587">
        <w:rPr>
          <w:sz w:val="20"/>
          <w:szCs w:val="20"/>
          <w:lang w:val="en-US" w:eastAsia="ko-KR"/>
        </w:rPr>
        <w:t xml:space="preserve">The excess delay </w:t>
      </w:r>
      <m:oMath>
        <m:r>
          <m:rPr>
            <m:sty m:val="b"/>
          </m:rPr>
          <w:rPr>
            <w:rFonts w:ascii="Cambria Math" w:hAnsi="Cambria Math"/>
            <w:sz w:val="20"/>
            <w:szCs w:val="20"/>
            <w:lang w:val="en-US" w:eastAsia="ko-KR"/>
          </w:rPr>
          <m:t>Δ</m:t>
        </m:r>
        <m:r>
          <m:rPr>
            <m:sty m:val="bi"/>
          </m:rPr>
          <w:rPr>
            <w:rFonts w:ascii="Cambria Math" w:hAnsi="Cambria Math"/>
            <w:sz w:val="20"/>
            <w:szCs w:val="20"/>
            <w:lang w:val="en-US" w:eastAsia="ko-KR"/>
          </w:rPr>
          <m:t>τ</m:t>
        </m:r>
      </m:oMath>
      <w:r w:rsidRPr="00CA1587">
        <w:rPr>
          <w:sz w:val="20"/>
          <w:szCs w:val="20"/>
          <w:lang w:val="en-US" w:eastAsia="ko-KR"/>
        </w:rPr>
        <w:t xml:space="preserve"> in NLOS can be </w:t>
      </w:r>
      <w:proofErr w:type="spellStart"/>
      <w:r w:rsidRPr="00CA1587">
        <w:rPr>
          <w:sz w:val="20"/>
          <w:szCs w:val="20"/>
        </w:rPr>
        <w:t>ignored</w:t>
      </w:r>
      <w:proofErr w:type="spellEnd"/>
      <w:r w:rsidRPr="00CA1587">
        <w:rPr>
          <w:sz w:val="20"/>
          <w:szCs w:val="20"/>
          <w:lang w:val="en-US" w:eastAsia="ko-KR"/>
        </w:rPr>
        <w:t xml:space="preserve"> for </w:t>
      </w:r>
      <w:proofErr w:type="spellStart"/>
      <w:r w:rsidRPr="00CA1587">
        <w:rPr>
          <w:sz w:val="20"/>
          <w:szCs w:val="20"/>
          <w:lang w:val="en-US" w:eastAsia="ko-KR"/>
        </w:rPr>
        <w:t>UMi</w:t>
      </w:r>
      <w:proofErr w:type="spellEnd"/>
      <w:r w:rsidRPr="00CA1587">
        <w:rPr>
          <w:sz w:val="20"/>
          <w:szCs w:val="20"/>
          <w:lang w:val="en-US" w:eastAsia="ko-KR"/>
        </w:rPr>
        <w:t xml:space="preserve">, </w:t>
      </w:r>
      <w:proofErr w:type="spellStart"/>
      <w:r w:rsidRPr="00CA1587">
        <w:rPr>
          <w:sz w:val="20"/>
          <w:szCs w:val="20"/>
          <w:lang w:val="en-US" w:eastAsia="ko-KR"/>
        </w:rPr>
        <w:t>UMa</w:t>
      </w:r>
      <w:proofErr w:type="spellEnd"/>
      <w:r w:rsidRPr="00CA1587">
        <w:rPr>
          <w:sz w:val="20"/>
          <w:szCs w:val="20"/>
          <w:lang w:val="en-US" w:eastAsia="ko-KR"/>
        </w:rPr>
        <w:t>, and IOO for the simplified models</w:t>
      </w:r>
      <w:r w:rsidR="00BA450B">
        <w:rPr>
          <w:sz w:val="20"/>
          <w:szCs w:val="20"/>
          <w:lang w:val="en-US" w:eastAsia="ko-KR"/>
        </w:rPr>
        <w:t xml:space="preserve"> or brought by individual companies (i.e., no agreed values)</w:t>
      </w:r>
      <w:r>
        <w:rPr>
          <w:sz w:val="20"/>
          <w:szCs w:val="20"/>
          <w:lang w:val="en-US" w:eastAsia="ko-KR"/>
        </w:rPr>
        <w:t>.</w:t>
      </w:r>
    </w:p>
    <w:p w14:paraId="4529CC8C" w14:textId="77777777" w:rsidR="00763EC6" w:rsidRDefault="00763EC6" w:rsidP="00CA1587">
      <w:pPr>
        <w:pStyle w:val="ListParagraph"/>
        <w:ind w:left="640"/>
      </w:pPr>
    </w:p>
    <w:p w14:paraId="778F41E4" w14:textId="77777777" w:rsidR="0086391E" w:rsidRPr="004C4BEF" w:rsidRDefault="0086391E" w:rsidP="0086391E">
      <w:pPr>
        <w:rPr>
          <w:b/>
          <w:bCs/>
          <w:u w:val="single"/>
          <w:lang w:val="fi-FI"/>
        </w:rPr>
      </w:pPr>
      <w:r w:rsidRPr="004C4BEF">
        <w:rPr>
          <w:b/>
          <w:bCs/>
          <w:u w:val="single"/>
          <w:lang w:val="fi-FI"/>
        </w:rPr>
        <w:t xml:space="preserve">UE </w:t>
      </w:r>
      <w:proofErr w:type="spellStart"/>
      <w:r w:rsidRPr="004C4BEF">
        <w:rPr>
          <w:b/>
          <w:bCs/>
          <w:u w:val="single"/>
          <w:lang w:val="fi-FI"/>
        </w:rPr>
        <w:t>antenna</w:t>
      </w:r>
      <w:proofErr w:type="spellEnd"/>
      <w:r w:rsidRPr="004C4BEF">
        <w:rPr>
          <w:b/>
          <w:bCs/>
          <w:u w:val="single"/>
          <w:lang w:val="fi-FI"/>
        </w:rPr>
        <w:t xml:space="preserve"> </w:t>
      </w:r>
      <w:proofErr w:type="spellStart"/>
      <w:r w:rsidRPr="004C4BEF">
        <w:rPr>
          <w:b/>
          <w:bCs/>
          <w:u w:val="single"/>
          <w:lang w:val="fi-FI"/>
        </w:rPr>
        <w:t>panel</w:t>
      </w:r>
      <w:proofErr w:type="spellEnd"/>
    </w:p>
    <w:p w14:paraId="4DDFC9AE" w14:textId="77777777" w:rsidR="0086391E" w:rsidRDefault="0086391E" w:rsidP="0086391E">
      <w:r>
        <w:t xml:space="preserve">Two other FFS points on simulation assumptions were left over from RAN1#101-e. Firstly, regarding the UE antenna configurations, there was a proposal to consider 4 UE panels with </w:t>
      </w:r>
      <w:r w:rsidRPr="004C4BEF">
        <w:t>(M, N, P) = (1, 4, 2)</w:t>
      </w:r>
      <w:r>
        <w:t xml:space="preserve">, that seems to achieve better performance of </w:t>
      </w:r>
      <w:proofErr w:type="spellStart"/>
      <w:r w:rsidRPr="004D2A70">
        <w:t>centimeter</w:t>
      </w:r>
      <w:proofErr w:type="spellEnd"/>
      <w:r w:rsidRPr="004D2A70">
        <w:t xml:space="preserve"> level accuracy requirements (e.g., &lt; 0.2 m accuracy).</w:t>
      </w:r>
      <w:r>
        <w:t xml:space="preserve"> </w:t>
      </w:r>
    </w:p>
    <w:tbl>
      <w:tblPr>
        <w:tblStyle w:val="TableGrid"/>
        <w:tblW w:w="0" w:type="auto"/>
        <w:tblLook w:val="04A0" w:firstRow="1" w:lastRow="0" w:firstColumn="1" w:lastColumn="0" w:noHBand="0" w:noVBand="1"/>
      </w:tblPr>
      <w:tblGrid>
        <w:gridCol w:w="9629"/>
      </w:tblGrid>
      <w:tr w:rsidR="0086391E" w14:paraId="0673AA87" w14:textId="77777777" w:rsidTr="004C4BEF">
        <w:tc>
          <w:tcPr>
            <w:tcW w:w="9629" w:type="dxa"/>
          </w:tcPr>
          <w:p w14:paraId="1D48E9CF" w14:textId="77777777" w:rsidR="0086391E" w:rsidRDefault="0086391E" w:rsidP="004C4BEF">
            <w:pPr>
              <w:rPr>
                <w:rFonts w:ascii="Times" w:hAnsi="Times" w:cs="Times"/>
                <w:lang w:val="en-IN" w:eastAsia="ko-KR"/>
              </w:rPr>
            </w:pPr>
            <w:r>
              <w:rPr>
                <w:highlight w:val="green"/>
                <w:lang w:val="en-IN" w:eastAsia="ko-KR"/>
              </w:rPr>
              <w:t>Agreement:</w:t>
            </w:r>
          </w:p>
          <w:p w14:paraId="113E7CA0" w14:textId="77777777" w:rsidR="0086391E" w:rsidRDefault="0086391E" w:rsidP="004C4BEF">
            <w:pPr>
              <w:rPr>
                <w:rFonts w:ascii="Calibri" w:hAnsi="Calibri" w:cs="Calibri"/>
                <w:sz w:val="22"/>
                <w:szCs w:val="22"/>
                <w:lang w:val="en-IN" w:eastAsia="ko-KR"/>
              </w:rPr>
            </w:pPr>
            <w:r>
              <w:rPr>
                <w:lang w:val="en-IN" w:eastAsia="ko-KR"/>
              </w:rPr>
              <w:t>Optional: The following UE antenna configuration can be considered</w:t>
            </w:r>
          </w:p>
          <w:p w14:paraId="253FB21C" w14:textId="77777777" w:rsidR="0086391E" w:rsidRDefault="0086391E" w:rsidP="004C4BEF">
            <w:pPr>
              <w:numPr>
                <w:ilvl w:val="0"/>
                <w:numId w:val="39"/>
              </w:numPr>
              <w:overflowPunct/>
              <w:autoSpaceDE/>
              <w:autoSpaceDN/>
              <w:adjustRightInd/>
              <w:spacing w:after="0"/>
              <w:textAlignment w:val="auto"/>
              <w:rPr>
                <w:rFonts w:eastAsia="Times New Roman"/>
                <w:lang w:val="en-IN" w:eastAsia="ko-KR"/>
              </w:rPr>
            </w:pPr>
            <w:r>
              <w:rPr>
                <w:rFonts w:eastAsia="Times New Roman"/>
                <w:lang w:val="en-IN" w:eastAsia="ko-KR"/>
              </w:rPr>
              <w:t xml:space="preserve">4 UE panels: </w:t>
            </w:r>
          </w:p>
          <w:p w14:paraId="17A0A78D" w14:textId="77777777" w:rsidR="0086391E" w:rsidRDefault="0086391E" w:rsidP="004C4BEF">
            <w:pPr>
              <w:numPr>
                <w:ilvl w:val="1"/>
                <w:numId w:val="39"/>
              </w:numPr>
              <w:overflowPunct/>
              <w:autoSpaceDE/>
              <w:autoSpaceDN/>
              <w:adjustRightInd/>
              <w:spacing w:after="0"/>
              <w:textAlignment w:val="auto"/>
              <w:rPr>
                <w:rFonts w:eastAsia="Times New Roman"/>
                <w:lang w:val="en-IN" w:eastAsia="ko-KR"/>
              </w:rPr>
            </w:pPr>
            <w:r>
              <w:rPr>
                <w:rFonts w:eastAsia="Times New Roman"/>
                <w:lang w:val="en-IN" w:eastAsia="ko-KR"/>
              </w:rPr>
              <w:t>The antenna elements of the same polarization of the same panel is virtualized into one TXRU</w:t>
            </w:r>
          </w:p>
          <w:p w14:paraId="09489BBA" w14:textId="77777777" w:rsidR="0086391E" w:rsidRDefault="0086391E" w:rsidP="004C4BEF">
            <w:pPr>
              <w:numPr>
                <w:ilvl w:val="0"/>
                <w:numId w:val="39"/>
              </w:numPr>
              <w:overflowPunct/>
              <w:autoSpaceDE/>
              <w:autoSpaceDN/>
              <w:adjustRightInd/>
              <w:spacing w:after="0"/>
              <w:textAlignment w:val="auto"/>
              <w:rPr>
                <w:rFonts w:eastAsia="Times New Roman"/>
                <w:highlight w:val="yellow"/>
                <w:lang w:val="en-IN" w:eastAsia="ko-KR"/>
              </w:rPr>
            </w:pPr>
            <w:r>
              <w:rPr>
                <w:rFonts w:eastAsia="Times New Roman"/>
                <w:highlight w:val="yellow"/>
                <w:lang w:val="en-IN" w:eastAsia="ko-KR"/>
              </w:rPr>
              <w:t>FFS: Other details</w:t>
            </w:r>
          </w:p>
          <w:p w14:paraId="418AD755" w14:textId="77777777" w:rsidR="0086391E" w:rsidRDefault="0086391E" w:rsidP="004C4BEF"/>
        </w:tc>
      </w:tr>
    </w:tbl>
    <w:p w14:paraId="1E61BDEF" w14:textId="77777777" w:rsidR="0086391E" w:rsidRDefault="0086391E" w:rsidP="0086391E"/>
    <w:p w14:paraId="58222C8F" w14:textId="653C8E26" w:rsidR="0086391E" w:rsidRPr="004C4BEF" w:rsidRDefault="00763EC6" w:rsidP="0086391E">
      <w:pPr>
        <w:rPr>
          <w:lang w:val="en-US"/>
        </w:rPr>
      </w:pPr>
      <w:r>
        <w:t xml:space="preserve">The proposal includes more specific UE antenna panel installation around a UE device, so the specific panel locations are meaningful to improve the positioning performances. </w:t>
      </w:r>
      <w:r w:rsidR="0086391E" w:rsidRPr="02E74DE5">
        <w:rPr>
          <w:lang w:val="en-US"/>
        </w:rPr>
        <w:t>However, positioning measurements are measured</w:t>
      </w:r>
      <w:r>
        <w:rPr>
          <w:lang w:val="en-US"/>
        </w:rPr>
        <w:t xml:space="preserve"> selectively</w:t>
      </w:r>
      <w:r w:rsidR="0086391E" w:rsidRPr="02E74DE5">
        <w:rPr>
          <w:lang w:val="en-US"/>
        </w:rPr>
        <w:t xml:space="preserve"> by some of the 4 UE panels depending on UE implementations</w:t>
      </w:r>
      <w:r>
        <w:rPr>
          <w:lang w:val="en-US"/>
        </w:rPr>
        <w:t xml:space="preserve">, there remain open questions </w:t>
      </w:r>
      <w:r w:rsidR="00AE193A">
        <w:rPr>
          <w:lang w:val="en-US"/>
        </w:rPr>
        <w:t xml:space="preserve">on UE behaviors and their measurements in each panel. </w:t>
      </w:r>
      <w:r w:rsidR="0086391E" w:rsidRPr="02E74DE5">
        <w:rPr>
          <w:lang w:val="en-US"/>
        </w:rPr>
        <w:t xml:space="preserve">So far, RAN1 assumes a single positioning measurement and report per UE, not per antenna panel. Therefore, it would need more discussions on how to handle the measurement and report per antenna panel. Unless RAN1 agrees to study multiple panel positioning measurements and reports in the study scope, we prefer </w:t>
      </w:r>
      <w:r w:rsidR="0086391E">
        <w:t xml:space="preserve">not </w:t>
      </w:r>
      <w:proofErr w:type="gramStart"/>
      <w:r w:rsidR="0086391E">
        <w:t>define</w:t>
      </w:r>
      <w:proofErr w:type="gramEnd"/>
      <w:r w:rsidR="0086391E">
        <w:t xml:space="preserve"> additional details for the optional UE </w:t>
      </w:r>
      <w:r w:rsidR="54C209B4">
        <w:t>antenna</w:t>
      </w:r>
      <w:r w:rsidR="0086391E">
        <w:t xml:space="preserve"> configuration of 4 UE panels.</w:t>
      </w:r>
    </w:p>
    <w:p w14:paraId="52E31B3B" w14:textId="3D14C010" w:rsidR="0086391E" w:rsidRDefault="0086391E" w:rsidP="0086391E">
      <w:r w:rsidRPr="02E74DE5">
        <w:rPr>
          <w:b/>
          <w:bCs/>
        </w:rPr>
        <w:t xml:space="preserve">Proposal </w:t>
      </w:r>
      <w:r w:rsidR="00FF11B9">
        <w:rPr>
          <w:b/>
          <w:bCs/>
        </w:rPr>
        <w:t>2</w:t>
      </w:r>
      <w:r>
        <w:t xml:space="preserve">: Do not define additional details for the optional UE </w:t>
      </w:r>
      <w:r w:rsidR="1EC6543F">
        <w:t>antenna</w:t>
      </w:r>
      <w:r>
        <w:t xml:space="preserve"> configuration of 4 UE panels.</w:t>
      </w:r>
    </w:p>
    <w:p w14:paraId="6D987781" w14:textId="77777777" w:rsidR="0086391E" w:rsidRPr="004C4BEF" w:rsidRDefault="0086391E" w:rsidP="0086391E">
      <w:pPr>
        <w:rPr>
          <w:b/>
          <w:bCs/>
          <w:u w:val="single"/>
        </w:rPr>
      </w:pPr>
      <w:r w:rsidRPr="004C4BEF">
        <w:rPr>
          <w:b/>
          <w:bCs/>
          <w:u w:val="single"/>
        </w:rPr>
        <w:t>UE mobility</w:t>
      </w:r>
      <w:r>
        <w:rPr>
          <w:b/>
          <w:bCs/>
          <w:u w:val="single"/>
        </w:rPr>
        <w:t xml:space="preserve"> model</w:t>
      </w:r>
    </w:p>
    <w:p w14:paraId="0D2D7E3C" w14:textId="07C93B0D" w:rsidR="0086391E" w:rsidRDefault="0086391E" w:rsidP="02E74DE5">
      <w:pPr>
        <w:rPr>
          <w:rFonts w:eastAsiaTheme="minorEastAsia"/>
          <w:lang w:val="en-US" w:eastAsia="ko-KR"/>
        </w:rPr>
      </w:pPr>
      <w:r w:rsidRPr="02E74DE5">
        <w:rPr>
          <w:rFonts w:eastAsiaTheme="minorEastAsia"/>
          <w:lang w:val="en-US" w:eastAsia="ko-KR"/>
        </w:rPr>
        <w:t>Another FFS point is UE mobility consideration for optional simulation assumptions. In the</w:t>
      </w:r>
      <w:r w:rsidRPr="02E74DE5">
        <w:rPr>
          <w:rFonts w:eastAsiaTheme="minorEastAsia"/>
          <w:lang w:eastAsia="ko-KR"/>
        </w:rPr>
        <w:t xml:space="preserve"> TR38.901</w:t>
      </w:r>
      <w:r w:rsidRPr="02E74DE5">
        <w:rPr>
          <w:rFonts w:eastAsiaTheme="minorEastAsia"/>
          <w:lang w:val="en-US" w:eastAsia="ko-KR"/>
        </w:rPr>
        <w:t xml:space="preserve"> channel models, spatially</w:t>
      </w:r>
      <w:r w:rsidR="2A1DFC97" w:rsidRPr="02E74DE5">
        <w:rPr>
          <w:rFonts w:eastAsiaTheme="minorEastAsia"/>
          <w:lang w:val="en-US" w:eastAsia="ko-KR"/>
        </w:rPr>
        <w:t xml:space="preserve"> </w:t>
      </w:r>
      <w:r w:rsidRPr="02E74DE5">
        <w:rPr>
          <w:rFonts w:eastAsiaTheme="minorEastAsia"/>
          <w:lang w:val="en-US" w:eastAsia="ko-KR"/>
        </w:rPr>
        <w:t>consistent U</w:t>
      </w:r>
      <w:r w:rsidR="272A2CFC" w:rsidRPr="02E74DE5">
        <w:rPr>
          <w:rFonts w:eastAsiaTheme="minorEastAsia"/>
          <w:lang w:val="en-US" w:eastAsia="ko-KR"/>
        </w:rPr>
        <w:t>E</w:t>
      </w:r>
      <w:r w:rsidRPr="02E74DE5">
        <w:rPr>
          <w:rFonts w:eastAsiaTheme="minorEastAsia"/>
          <w:lang w:val="en-US" w:eastAsia="ko-KR"/>
        </w:rPr>
        <w:t xml:space="preserve"> mobility modelling </w:t>
      </w:r>
      <w:r w:rsidRPr="02E74DE5">
        <w:rPr>
          <w:rFonts w:eastAsiaTheme="minorEastAsia"/>
          <w:lang w:eastAsia="ko-KR"/>
        </w:rPr>
        <w:t xml:space="preserve">is supported for mobility simulations. </w:t>
      </w:r>
      <w:r w:rsidR="3EF55451" w:rsidRPr="02E74DE5">
        <w:rPr>
          <w:rFonts w:eastAsiaTheme="minorEastAsia"/>
          <w:lang w:eastAsia="ko-KR"/>
        </w:rPr>
        <w:t>However,</w:t>
      </w:r>
      <w:r w:rsidRPr="02E74DE5">
        <w:rPr>
          <w:rFonts w:eastAsiaTheme="minorEastAsia"/>
          <w:lang w:eastAsia="ko-KR"/>
        </w:rPr>
        <w:t xml:space="preserve"> in positioning measurement point of view, the mobility is basically covered by time-filtering over discrete static positioning measurements, and each measurement accuracy under static channels leads to mobile positioning measurements. </w:t>
      </w:r>
      <w:r w:rsidRPr="02E74DE5">
        <w:rPr>
          <w:rFonts w:eastAsiaTheme="minorEastAsia"/>
          <w:lang w:val="en-US" w:eastAsia="ko-KR"/>
        </w:rPr>
        <w:t xml:space="preserve">Therefore, there seems to be little value is defining the specific performance specifically on mobility if it is about very simple trajectory movements. Individual companies can already include those details in their simulations and provide the details in their contributions. </w:t>
      </w:r>
    </w:p>
    <w:p w14:paraId="69B7692C" w14:textId="00C82B94" w:rsidR="00682239" w:rsidRDefault="00682239" w:rsidP="02E74DE5">
      <w:pPr>
        <w:rPr>
          <w:rFonts w:eastAsiaTheme="minorEastAsia"/>
          <w:lang w:val="en-US" w:eastAsia="ko-KR"/>
        </w:rPr>
      </w:pPr>
      <w:r>
        <w:rPr>
          <w:rFonts w:eastAsiaTheme="minorEastAsia"/>
          <w:lang w:val="en-US" w:eastAsia="ko-KR"/>
        </w:rPr>
        <w:t xml:space="preserve">How the </w:t>
      </w:r>
      <w:r w:rsidR="00BA450B">
        <w:rPr>
          <w:rFonts w:eastAsiaTheme="minorEastAsia"/>
          <w:lang w:val="en-US" w:eastAsia="ko-KR"/>
        </w:rPr>
        <w:t xml:space="preserve">positioning </w:t>
      </w:r>
      <w:r>
        <w:rPr>
          <w:rFonts w:eastAsiaTheme="minorEastAsia"/>
          <w:lang w:val="en-US" w:eastAsia="ko-KR"/>
        </w:rPr>
        <w:t>accuracy of the UE will be reported on the CDF for the mobility model is not straightforward</w:t>
      </w:r>
      <w:r w:rsidR="00BA450B">
        <w:rPr>
          <w:rFonts w:eastAsiaTheme="minorEastAsia"/>
          <w:lang w:val="en-US" w:eastAsia="ko-KR"/>
        </w:rPr>
        <w:t>,</w:t>
      </w:r>
      <w:r>
        <w:rPr>
          <w:rFonts w:eastAsiaTheme="minorEastAsia"/>
          <w:lang w:val="en-US" w:eastAsia="ko-KR"/>
        </w:rPr>
        <w:t xml:space="preserve"> as well as </w:t>
      </w:r>
      <w:r w:rsidR="00BA450B">
        <w:rPr>
          <w:rFonts w:eastAsiaTheme="minorEastAsia"/>
          <w:lang w:val="en-US" w:eastAsia="ko-KR"/>
        </w:rPr>
        <w:t>the mobility models</w:t>
      </w:r>
      <w:r>
        <w:rPr>
          <w:rFonts w:eastAsiaTheme="minorEastAsia"/>
          <w:lang w:val="en-US" w:eastAsia="ko-KR"/>
        </w:rPr>
        <w:t xml:space="preserve"> relation to the requirements. For example, if a UE which moves in a straight line over 100 positioning measurements </w:t>
      </w:r>
      <w:proofErr w:type="gramStart"/>
      <w:r>
        <w:rPr>
          <w:rFonts w:eastAsiaTheme="minorEastAsia"/>
          <w:lang w:val="en-US" w:eastAsia="ko-KR"/>
        </w:rPr>
        <w:t>is able to</w:t>
      </w:r>
      <w:proofErr w:type="gramEnd"/>
      <w:r>
        <w:rPr>
          <w:rFonts w:eastAsiaTheme="minorEastAsia"/>
          <w:lang w:val="en-US" w:eastAsia="ko-KR"/>
        </w:rPr>
        <w:t xml:space="preserve"> achieve 10 cm accuracy by the 100</w:t>
      </w:r>
      <w:r w:rsidRPr="00CA1587">
        <w:rPr>
          <w:rFonts w:eastAsiaTheme="minorEastAsia"/>
          <w:vertAlign w:val="superscript"/>
          <w:lang w:val="en-US" w:eastAsia="ko-KR"/>
        </w:rPr>
        <w:t>th</w:t>
      </w:r>
      <w:r>
        <w:rPr>
          <w:rFonts w:eastAsiaTheme="minorEastAsia"/>
          <w:lang w:val="en-US" w:eastAsia="ko-KR"/>
        </w:rPr>
        <w:t xml:space="preserve"> measurement time does that UE meet a requirement of 10 cm accuracy? If that same UE has a 10 m error on the 1</w:t>
      </w:r>
      <w:r w:rsidRPr="00CA1587">
        <w:rPr>
          <w:rFonts w:eastAsiaTheme="minorEastAsia"/>
          <w:vertAlign w:val="superscript"/>
          <w:lang w:val="en-US" w:eastAsia="ko-KR"/>
        </w:rPr>
        <w:t>st</w:t>
      </w:r>
      <w:r>
        <w:rPr>
          <w:rFonts w:eastAsiaTheme="minorEastAsia"/>
          <w:lang w:val="en-US" w:eastAsia="ko-KR"/>
        </w:rPr>
        <w:t xml:space="preserve"> measurement time</w:t>
      </w:r>
      <w:r w:rsidR="00AE193A">
        <w:rPr>
          <w:rFonts w:eastAsiaTheme="minorEastAsia"/>
          <w:lang w:val="en-US" w:eastAsia="ko-KR"/>
        </w:rPr>
        <w:t>,</w:t>
      </w:r>
      <w:r>
        <w:rPr>
          <w:rFonts w:eastAsiaTheme="minorEastAsia"/>
          <w:lang w:val="en-US" w:eastAsia="ko-KR"/>
        </w:rPr>
        <w:t xml:space="preserve"> </w:t>
      </w:r>
      <w:r w:rsidR="00BA450B">
        <w:rPr>
          <w:rFonts w:eastAsiaTheme="minorEastAsia"/>
          <w:lang w:val="en-US" w:eastAsia="ko-KR"/>
        </w:rPr>
        <w:t>how is this</w:t>
      </w:r>
      <w:r w:rsidR="00AE193A">
        <w:rPr>
          <w:rFonts w:eastAsiaTheme="minorEastAsia"/>
          <w:lang w:val="en-US" w:eastAsia="ko-KR"/>
        </w:rPr>
        <w:t xml:space="preserve"> measurement error</w:t>
      </w:r>
      <w:r>
        <w:rPr>
          <w:rFonts w:eastAsiaTheme="minorEastAsia"/>
          <w:lang w:val="en-US" w:eastAsia="ko-KR"/>
        </w:rPr>
        <w:t xml:space="preserve"> </w:t>
      </w:r>
      <w:r w:rsidR="00AE193A">
        <w:rPr>
          <w:rFonts w:eastAsiaTheme="minorEastAsia"/>
          <w:lang w:val="en-US" w:eastAsia="ko-KR"/>
        </w:rPr>
        <w:t xml:space="preserve">is </w:t>
      </w:r>
      <w:proofErr w:type="gramStart"/>
      <w:r w:rsidR="00AE193A">
        <w:rPr>
          <w:rFonts w:eastAsiaTheme="minorEastAsia"/>
          <w:lang w:val="en-US" w:eastAsia="ko-KR"/>
        </w:rPr>
        <w:t>taken into account</w:t>
      </w:r>
      <w:proofErr w:type="gramEnd"/>
      <w:r w:rsidR="00AE193A">
        <w:rPr>
          <w:rFonts w:eastAsiaTheme="minorEastAsia"/>
          <w:lang w:val="en-US" w:eastAsia="ko-KR"/>
        </w:rPr>
        <w:t xml:space="preserve"> over mobility</w:t>
      </w:r>
      <w:r>
        <w:rPr>
          <w:rFonts w:eastAsiaTheme="minorEastAsia"/>
          <w:lang w:val="en-US" w:eastAsia="ko-KR"/>
        </w:rPr>
        <w:t xml:space="preserve">? </w:t>
      </w:r>
      <w:r w:rsidR="00AE193A">
        <w:rPr>
          <w:rFonts w:eastAsiaTheme="minorEastAsia"/>
          <w:lang w:val="en-US" w:eastAsia="ko-KR"/>
        </w:rPr>
        <w:t>Mobility error may make things more</w:t>
      </w:r>
      <w:r>
        <w:rPr>
          <w:rFonts w:eastAsiaTheme="minorEastAsia"/>
          <w:lang w:val="en-US" w:eastAsia="ko-KR"/>
        </w:rPr>
        <w:t xml:space="preserve"> </w:t>
      </w:r>
      <w:proofErr w:type="gramStart"/>
      <w:r>
        <w:rPr>
          <w:rFonts w:eastAsiaTheme="minorEastAsia"/>
          <w:lang w:val="en-US" w:eastAsia="ko-KR"/>
        </w:rPr>
        <w:t>complicated</w:t>
      </w:r>
      <w:r w:rsidR="00AE193A">
        <w:rPr>
          <w:rFonts w:eastAsiaTheme="minorEastAsia"/>
          <w:lang w:val="en-US" w:eastAsia="ko-KR"/>
        </w:rPr>
        <w:t>, and</w:t>
      </w:r>
      <w:proofErr w:type="gramEnd"/>
      <w:r w:rsidR="00AE193A">
        <w:rPr>
          <w:rFonts w:eastAsiaTheme="minorEastAsia"/>
          <w:lang w:val="en-US" w:eastAsia="ko-KR"/>
        </w:rPr>
        <w:t xml:space="preserve"> need</w:t>
      </w:r>
      <w:r w:rsidR="00BA450B">
        <w:rPr>
          <w:rFonts w:eastAsiaTheme="minorEastAsia"/>
          <w:lang w:val="en-US" w:eastAsia="ko-KR"/>
        </w:rPr>
        <w:t>s</w:t>
      </w:r>
      <w:r w:rsidR="00AE193A">
        <w:rPr>
          <w:rFonts w:eastAsiaTheme="minorEastAsia"/>
          <w:lang w:val="en-US" w:eastAsia="ko-KR"/>
        </w:rPr>
        <w:t xml:space="preserve"> more </w:t>
      </w:r>
      <w:r w:rsidR="00AE193A">
        <w:rPr>
          <w:rFonts w:eastAsiaTheme="minorEastAsia"/>
          <w:lang w:val="en-US" w:eastAsia="ko-KR"/>
        </w:rPr>
        <w:lastRenderedPageBreak/>
        <w:t>discussion. W</w:t>
      </w:r>
      <w:r>
        <w:rPr>
          <w:rFonts w:eastAsiaTheme="minorEastAsia"/>
          <w:lang w:val="en-US" w:eastAsia="ko-KR"/>
        </w:rPr>
        <w:t>hile it can be valuable to show the performance for some models</w:t>
      </w:r>
      <w:r w:rsidR="00AE193A">
        <w:rPr>
          <w:rFonts w:eastAsiaTheme="minorEastAsia"/>
          <w:lang w:val="en-US" w:eastAsia="ko-KR"/>
        </w:rPr>
        <w:t>,</w:t>
      </w:r>
      <w:r>
        <w:rPr>
          <w:rFonts w:eastAsiaTheme="minorEastAsia"/>
          <w:lang w:val="en-US" w:eastAsia="ko-KR"/>
        </w:rPr>
        <w:t xml:space="preserve"> it may be difficult for RAN1 to converge on an acceptable model and related requirements in a short time window. </w:t>
      </w:r>
    </w:p>
    <w:tbl>
      <w:tblPr>
        <w:tblStyle w:val="TableGrid"/>
        <w:tblW w:w="0" w:type="auto"/>
        <w:tblLook w:val="04A0" w:firstRow="1" w:lastRow="0" w:firstColumn="1" w:lastColumn="0" w:noHBand="0" w:noVBand="1"/>
      </w:tblPr>
      <w:tblGrid>
        <w:gridCol w:w="9629"/>
      </w:tblGrid>
      <w:tr w:rsidR="0086391E" w14:paraId="33E1D9F6" w14:textId="77777777" w:rsidTr="004C4BEF">
        <w:tc>
          <w:tcPr>
            <w:tcW w:w="9629" w:type="dxa"/>
          </w:tcPr>
          <w:p w14:paraId="25508CB4" w14:textId="77777777" w:rsidR="0086391E" w:rsidRPr="004C4BEF" w:rsidRDefault="0086391E" w:rsidP="004C4BEF">
            <w:pPr>
              <w:rPr>
                <w:rFonts w:ascii="Times" w:hAnsi="Times" w:cs="Times"/>
                <w:lang w:val="en-IN" w:eastAsia="x-none"/>
              </w:rPr>
            </w:pPr>
            <w:r w:rsidRPr="004C4BEF">
              <w:rPr>
                <w:highlight w:val="green"/>
                <w:lang w:val="en-IN" w:eastAsia="x-none"/>
              </w:rPr>
              <w:t>Agreement:</w:t>
            </w:r>
          </w:p>
          <w:p w14:paraId="1E32A51E" w14:textId="77777777" w:rsidR="0086391E" w:rsidRPr="004C4BEF" w:rsidRDefault="0086391E" w:rsidP="004C4BEF">
            <w:pPr>
              <w:pStyle w:val="ListParagraph"/>
              <w:spacing w:line="252" w:lineRule="auto"/>
              <w:ind w:left="0"/>
              <w:rPr>
                <w:rFonts w:ascii="Calibri" w:hAnsi="Calibri" w:cs="Calibri"/>
                <w:sz w:val="20"/>
                <w:szCs w:val="20"/>
                <w:lang w:val="en-IN" w:eastAsia="x-none"/>
              </w:rPr>
            </w:pPr>
            <w:r w:rsidRPr="004C4BEF">
              <w:rPr>
                <w:sz w:val="20"/>
                <w:szCs w:val="20"/>
                <w:lang w:val="en-IN" w:eastAsia="ko-KR"/>
              </w:rPr>
              <w:t>Optional: UE mobility can be considered in evaluation with the consideration of the spatial consistency procedure defined in TR 38.901.</w:t>
            </w:r>
          </w:p>
          <w:p w14:paraId="17F52D91" w14:textId="77777777" w:rsidR="0086391E" w:rsidRPr="004C4BEF" w:rsidRDefault="0086391E" w:rsidP="004C4BEF">
            <w:pPr>
              <w:numPr>
                <w:ilvl w:val="0"/>
                <w:numId w:val="40"/>
              </w:numPr>
              <w:overflowPunct/>
              <w:autoSpaceDE/>
              <w:autoSpaceDN/>
              <w:adjustRightInd/>
              <w:spacing w:after="0"/>
              <w:textAlignment w:val="auto"/>
              <w:rPr>
                <w:rFonts w:eastAsiaTheme="minorHAnsi"/>
                <w:lang w:val="en-IN" w:eastAsia="ko-KR"/>
              </w:rPr>
            </w:pPr>
            <w:r w:rsidRPr="004C4BEF">
              <w:rPr>
                <w:rFonts w:eastAsia="Times New Roman"/>
                <w:highlight w:val="yellow"/>
                <w:lang w:val="en-IN" w:eastAsia="ko-KR"/>
              </w:rPr>
              <w:t>FFS: the details of the mobility models</w:t>
            </w:r>
          </w:p>
        </w:tc>
      </w:tr>
    </w:tbl>
    <w:p w14:paraId="7A737460" w14:textId="77777777" w:rsidR="0086391E" w:rsidRPr="004C4BEF" w:rsidRDefault="0086391E" w:rsidP="0086391E">
      <w:pPr>
        <w:overflowPunct/>
        <w:autoSpaceDE/>
        <w:autoSpaceDN/>
        <w:adjustRightInd/>
        <w:spacing w:after="0"/>
        <w:textAlignment w:val="auto"/>
        <w:rPr>
          <w:rFonts w:eastAsia="Times New Roman"/>
          <w:highlight w:val="yellow"/>
          <w:lang w:val="en-IN" w:eastAsia="x-none"/>
        </w:rPr>
      </w:pPr>
    </w:p>
    <w:p w14:paraId="72243A41" w14:textId="3A4B18E2" w:rsidR="0086391E" w:rsidRDefault="0086391E" w:rsidP="0086391E">
      <w:r w:rsidRPr="004C4BEF">
        <w:rPr>
          <w:b/>
          <w:bCs/>
        </w:rPr>
        <w:t xml:space="preserve">Proposal </w:t>
      </w:r>
      <w:r w:rsidR="00FF11B9">
        <w:rPr>
          <w:b/>
          <w:bCs/>
        </w:rPr>
        <w:t>3</w:t>
      </w:r>
      <w:r w:rsidRPr="004C4BEF">
        <w:t xml:space="preserve">: Do not define the details of the optional mobility model.   </w:t>
      </w:r>
    </w:p>
    <w:p w14:paraId="72DBC027" w14:textId="77777777" w:rsidR="0086391E" w:rsidRPr="004C4BEF" w:rsidRDefault="0086391E" w:rsidP="0086391E">
      <w:pPr>
        <w:overflowPunct/>
        <w:autoSpaceDE/>
        <w:autoSpaceDN/>
        <w:adjustRightInd/>
        <w:spacing w:after="0" w:line="252" w:lineRule="auto"/>
        <w:rPr>
          <w:rFonts w:eastAsia="Times New Roman" w:cs="ヒラギノ角ゴ Pro W3"/>
          <w:b/>
          <w:bCs/>
          <w:kern w:val="24"/>
          <w:sz w:val="22"/>
          <w:szCs w:val="22"/>
          <w:highlight w:val="green"/>
          <w:u w:val="single"/>
          <w:lang w:val="en-US"/>
        </w:rPr>
      </w:pPr>
      <w:r w:rsidRPr="004C4BEF">
        <w:rPr>
          <w:rFonts w:eastAsia="Times New Roman" w:cs="ヒラギノ角ゴ Pro W3"/>
          <w:b/>
          <w:bCs/>
          <w:kern w:val="24"/>
          <w:sz w:val="22"/>
          <w:szCs w:val="22"/>
          <w:u w:val="single"/>
          <w:lang w:val="en-US"/>
        </w:rPr>
        <w:t>Timing error model</w:t>
      </w:r>
      <w:r>
        <w:rPr>
          <w:rFonts w:eastAsia="Times New Roman" w:cs="ヒラギノ角ゴ Pro W3"/>
          <w:b/>
          <w:bCs/>
          <w:kern w:val="24"/>
          <w:sz w:val="22"/>
          <w:szCs w:val="22"/>
          <w:u w:val="single"/>
          <w:lang w:val="en-US"/>
        </w:rPr>
        <w:t>s</w:t>
      </w:r>
    </w:p>
    <w:p w14:paraId="736791C6" w14:textId="77777777" w:rsidR="0086391E" w:rsidRDefault="0086391E" w:rsidP="0086391E">
      <w:pPr>
        <w:overflowPunct/>
        <w:autoSpaceDE/>
        <w:autoSpaceDN/>
        <w:adjustRightInd/>
        <w:spacing w:after="0" w:line="252" w:lineRule="auto"/>
        <w:rPr>
          <w:rFonts w:eastAsia="Times New Roman" w:cs="ヒラギノ角ゴ Pro W3"/>
          <w:color w:val="44546A" w:themeColor="text2"/>
          <w:kern w:val="24"/>
          <w:sz w:val="22"/>
          <w:szCs w:val="22"/>
          <w:highlight w:val="green"/>
          <w:lang w:val="en-US"/>
        </w:rPr>
      </w:pPr>
    </w:p>
    <w:p w14:paraId="675051A3" w14:textId="77777777" w:rsidR="0086391E" w:rsidRPr="004C4BEF" w:rsidRDefault="0086391E" w:rsidP="0086391E">
      <w:pPr>
        <w:overflowPunct/>
        <w:autoSpaceDE/>
        <w:autoSpaceDN/>
        <w:adjustRightInd/>
        <w:spacing w:after="0" w:line="252" w:lineRule="auto"/>
        <w:rPr>
          <w:rFonts w:eastAsia="Times New Roman" w:cs="ヒラギノ角ゴ Pro W3"/>
          <w:kern w:val="24"/>
          <w:lang w:val="en-US"/>
        </w:rPr>
      </w:pPr>
      <w:r w:rsidRPr="004C4BEF">
        <w:rPr>
          <w:rFonts w:eastAsia="Times New Roman" w:cs="ヒラギノ角ゴ Pro W3"/>
          <w:kern w:val="24"/>
          <w:lang w:val="en-US"/>
        </w:rPr>
        <w:t xml:space="preserve">We share a similar view that TX/RX timing error consideration helps performance </w:t>
      </w:r>
      <w:r w:rsidR="65589012" w:rsidRPr="004C4BEF">
        <w:rPr>
          <w:rFonts w:eastAsia="Times New Roman" w:cs="ヒラギノ角ゴ Pro W3"/>
          <w:kern w:val="24"/>
          <w:lang w:val="en-US"/>
        </w:rPr>
        <w:t>studies</w:t>
      </w:r>
      <w:r w:rsidRPr="004C4BEF">
        <w:rPr>
          <w:rFonts w:eastAsia="Times New Roman" w:cs="ヒラギノ角ゴ Pro W3"/>
          <w:kern w:val="24"/>
          <w:lang w:val="en-US"/>
        </w:rPr>
        <w:t xml:space="preserve"> in practice. Especially, multiple antenna panels in FR2 make RX/TX chains switching operations corresponding to the different antenna panels, it may </w:t>
      </w:r>
      <w:r w:rsidR="4F9E5BE0" w:rsidRPr="004C4BEF">
        <w:rPr>
          <w:rFonts w:eastAsia="Times New Roman" w:cs="ヒラギノ角ゴ Pro W3"/>
          <w:kern w:val="24"/>
          <w:lang w:val="en-US"/>
        </w:rPr>
        <w:t>cause</w:t>
      </w:r>
      <w:r w:rsidRPr="004C4BEF">
        <w:rPr>
          <w:rFonts w:eastAsia="Times New Roman" w:cs="ヒラギノ角ゴ Pro W3"/>
          <w:kern w:val="24"/>
          <w:lang w:val="en-US"/>
        </w:rPr>
        <w:t xml:space="preserve"> different delays due to differences in filter group delays.</w:t>
      </w:r>
    </w:p>
    <w:p w14:paraId="0F58CC09" w14:textId="77777777" w:rsidR="0086391E" w:rsidRPr="004C4BEF" w:rsidRDefault="0086391E" w:rsidP="0086391E">
      <w:pPr>
        <w:overflowPunct/>
        <w:autoSpaceDE/>
        <w:autoSpaceDN/>
        <w:adjustRightInd/>
        <w:spacing w:after="0" w:line="252" w:lineRule="auto"/>
        <w:rPr>
          <w:rFonts w:eastAsia="Times New Roman" w:cs="ヒラギノ角ゴ Pro W3"/>
          <w:color w:val="44546A" w:themeColor="text2"/>
          <w:kern w:val="24"/>
          <w:highlight w:val="green"/>
          <w:lang w:val="en-US"/>
        </w:rPr>
      </w:pPr>
    </w:p>
    <w:tbl>
      <w:tblPr>
        <w:tblStyle w:val="TableGrid"/>
        <w:tblW w:w="0" w:type="auto"/>
        <w:tblLook w:val="04A0" w:firstRow="1" w:lastRow="0" w:firstColumn="1" w:lastColumn="0" w:noHBand="0" w:noVBand="1"/>
      </w:tblPr>
      <w:tblGrid>
        <w:gridCol w:w="9629"/>
      </w:tblGrid>
      <w:tr w:rsidR="0086391E" w:rsidRPr="004C4BEF" w14:paraId="0849E452" w14:textId="77777777" w:rsidTr="004C4BEF">
        <w:tc>
          <w:tcPr>
            <w:tcW w:w="9629" w:type="dxa"/>
          </w:tcPr>
          <w:p w14:paraId="5C98255F" w14:textId="77777777" w:rsidR="0086391E" w:rsidRPr="004C4BEF" w:rsidRDefault="0086391E" w:rsidP="004C4BEF">
            <w:pPr>
              <w:overflowPunct/>
              <w:autoSpaceDE/>
              <w:autoSpaceDN/>
              <w:adjustRightInd/>
              <w:spacing w:after="0" w:line="252" w:lineRule="auto"/>
              <w:rPr>
                <w:rFonts w:eastAsia="Times New Roman"/>
                <w:lang w:val="en-US"/>
              </w:rPr>
            </w:pPr>
            <w:r w:rsidRPr="004C4BEF">
              <w:rPr>
                <w:rFonts w:eastAsia="Times New Roman" w:cs="ヒラギノ角ゴ Pro W3"/>
                <w:color w:val="44546A" w:themeColor="text2"/>
                <w:kern w:val="24"/>
                <w:highlight w:val="green"/>
                <w:lang w:val="en-US"/>
              </w:rPr>
              <w:t>Agreement:</w:t>
            </w:r>
          </w:p>
          <w:p w14:paraId="53DE9EE1" w14:textId="77777777" w:rsidR="0086391E" w:rsidRPr="004C4BEF" w:rsidRDefault="0086391E" w:rsidP="004C4BEF">
            <w:pPr>
              <w:overflowPunct/>
              <w:autoSpaceDE/>
              <w:autoSpaceDN/>
              <w:adjustRightInd/>
              <w:spacing w:after="0" w:line="252" w:lineRule="auto"/>
              <w:rPr>
                <w:rFonts w:eastAsia="Times New Roman"/>
                <w:lang w:val="en-US"/>
              </w:rPr>
            </w:pPr>
            <w:r w:rsidRPr="004C4BEF">
              <w:rPr>
                <w:rFonts w:eastAsia="Times New Roman" w:cs="ヒラギノ角ゴ Pro W3"/>
                <w:color w:val="44546A" w:themeColor="text2"/>
                <w:kern w:val="24"/>
                <w:lang w:val="en-US"/>
              </w:rPr>
              <w:t>Optional: The UE/gNB RX and TX timing error, in FR1/FR2, can be modeled as a truncated Gaussian distribution with zero mean and standard deviation of T1 ns, with truncation of the distribution to the [-T2, T2] range, and with T2=2*T1:</w:t>
            </w:r>
          </w:p>
          <w:p w14:paraId="1E81F0C3" w14:textId="77777777" w:rsidR="0086391E" w:rsidRPr="004C4BEF" w:rsidRDefault="0086391E" w:rsidP="004C4BEF">
            <w:pPr>
              <w:numPr>
                <w:ilvl w:val="0"/>
                <w:numId w:val="42"/>
              </w:numPr>
              <w:overflowPunct/>
              <w:autoSpaceDE/>
              <w:autoSpaceDN/>
              <w:adjustRightInd/>
              <w:spacing w:after="0" w:line="252" w:lineRule="auto"/>
              <w:ind w:left="1267"/>
              <w:contextualSpacing/>
              <w:rPr>
                <w:rFonts w:eastAsia="Times New Roman"/>
                <w:lang w:val="en-US"/>
              </w:rPr>
            </w:pPr>
            <w:r w:rsidRPr="004C4BEF">
              <w:rPr>
                <w:rFonts w:eastAsia="Times New Roman" w:cs="ヒラギノ角ゴ Pro W3"/>
                <w:color w:val="44546A" w:themeColor="text2"/>
                <w:kern w:val="24"/>
                <w:lang w:val="en-US"/>
              </w:rPr>
              <w:t>T1</w:t>
            </w:r>
            <w:proofErr w:type="gramStart"/>
            <w:r w:rsidRPr="004C4BEF">
              <w:rPr>
                <w:rFonts w:eastAsia="Times New Roman" w:cs="ヒラギノ角ゴ Pro W3"/>
                <w:color w:val="44546A" w:themeColor="text2"/>
                <w:kern w:val="24"/>
                <w:lang w:val="en-US"/>
              </w:rPr>
              <w:t>:  [</w:t>
            </w:r>
            <w:proofErr w:type="gramEnd"/>
            <w:r w:rsidRPr="004C4BEF">
              <w:rPr>
                <w:rFonts w:eastAsia="Times New Roman" w:cs="ヒラギノ角ゴ Pro W3"/>
                <w:color w:val="44546A" w:themeColor="text2"/>
                <w:kern w:val="24"/>
                <w:lang w:val="en-US"/>
              </w:rPr>
              <w:t xml:space="preserve">X] ns for gNB and [Y] ns for UE </w:t>
            </w:r>
          </w:p>
          <w:p w14:paraId="79FE2634" w14:textId="77777777" w:rsidR="0086391E" w:rsidRPr="004C4BEF" w:rsidRDefault="0086391E" w:rsidP="004C4BEF">
            <w:pPr>
              <w:numPr>
                <w:ilvl w:val="1"/>
                <w:numId w:val="42"/>
              </w:numPr>
              <w:overflowPunct/>
              <w:autoSpaceDE/>
              <w:autoSpaceDN/>
              <w:adjustRightInd/>
              <w:spacing w:after="0" w:line="252" w:lineRule="auto"/>
              <w:ind w:left="2347"/>
              <w:contextualSpacing/>
              <w:rPr>
                <w:rFonts w:eastAsia="Times New Roman"/>
                <w:lang w:val="en-US"/>
              </w:rPr>
            </w:pPr>
            <w:r w:rsidRPr="004C4BEF">
              <w:rPr>
                <w:color w:val="44546A" w:themeColor="text2"/>
                <w:kern w:val="24"/>
                <w:lang w:val="en-US"/>
              </w:rPr>
              <w:t>FFS: X, Y</w:t>
            </w:r>
          </w:p>
          <w:p w14:paraId="260C9007" w14:textId="77777777" w:rsidR="0086391E" w:rsidRPr="004C4BEF" w:rsidRDefault="0086391E" w:rsidP="004C4BEF">
            <w:pPr>
              <w:numPr>
                <w:ilvl w:val="0"/>
                <w:numId w:val="42"/>
              </w:numPr>
              <w:overflowPunct/>
              <w:autoSpaceDE/>
              <w:autoSpaceDN/>
              <w:adjustRightInd/>
              <w:spacing w:after="0" w:line="252" w:lineRule="auto"/>
              <w:ind w:left="1267"/>
              <w:contextualSpacing/>
              <w:rPr>
                <w:rFonts w:eastAsia="Times New Roman"/>
                <w:lang w:val="en-US"/>
              </w:rPr>
            </w:pPr>
            <w:r w:rsidRPr="004C4BEF">
              <w:rPr>
                <w:rFonts w:eastAsia="Times New Roman" w:cs="ヒラギノ角ゴ Pro W3"/>
                <w:color w:val="44546A" w:themeColor="text2"/>
                <w:kern w:val="24"/>
                <w:lang w:val="en-US"/>
              </w:rPr>
              <w:t>Note: RX and TX timing errors are generated per panel independently</w:t>
            </w:r>
          </w:p>
          <w:p w14:paraId="4AFE2F30" w14:textId="77777777" w:rsidR="0086391E" w:rsidRPr="004C4BEF" w:rsidRDefault="0086391E" w:rsidP="004C4BEF">
            <w:pPr>
              <w:numPr>
                <w:ilvl w:val="0"/>
                <w:numId w:val="42"/>
              </w:numPr>
              <w:overflowPunct/>
              <w:autoSpaceDE/>
              <w:autoSpaceDN/>
              <w:adjustRightInd/>
              <w:spacing w:after="0" w:line="252" w:lineRule="auto"/>
              <w:ind w:left="1267"/>
              <w:contextualSpacing/>
              <w:rPr>
                <w:rFonts w:eastAsia="Times New Roman"/>
                <w:lang w:val="en-US"/>
              </w:rPr>
            </w:pPr>
            <w:r w:rsidRPr="004C4BEF">
              <w:rPr>
                <w:rFonts w:eastAsia="Times New Roman" w:cs="ヒラギノ角ゴ Pro W3"/>
                <w:color w:val="44546A" w:themeColor="text2"/>
                <w:kern w:val="24"/>
                <w:highlight w:val="yellow"/>
                <w:lang w:val="en-US"/>
              </w:rPr>
              <w:t>FFS:</w:t>
            </w:r>
            <w:r w:rsidRPr="004C4BEF">
              <w:rPr>
                <w:rFonts w:eastAsia="Times New Roman" w:cs="ヒラギノ角ゴ Pro W3"/>
                <w:color w:val="44546A" w:themeColor="text2"/>
                <w:kern w:val="24"/>
                <w:lang w:val="en-US"/>
              </w:rPr>
              <w:t xml:space="preserve"> how the Rx and Tx timing errors are applied  </w:t>
            </w:r>
          </w:p>
          <w:p w14:paraId="14652BB1" w14:textId="77777777" w:rsidR="0086391E" w:rsidRPr="004C4BEF" w:rsidRDefault="0086391E" w:rsidP="004C4BEF">
            <w:pPr>
              <w:overflowPunct/>
              <w:autoSpaceDE/>
              <w:autoSpaceDN/>
              <w:adjustRightInd/>
              <w:spacing w:after="0" w:line="252" w:lineRule="auto"/>
              <w:rPr>
                <w:rFonts w:eastAsia="Times New Roman" w:cs="ヒラギノ角ゴ Pro W3"/>
                <w:color w:val="44546A" w:themeColor="text2"/>
                <w:kern w:val="24"/>
                <w:highlight w:val="green"/>
                <w:lang w:val="en-US"/>
              </w:rPr>
            </w:pPr>
          </w:p>
        </w:tc>
      </w:tr>
    </w:tbl>
    <w:p w14:paraId="15C8C80D" w14:textId="77777777" w:rsidR="0086391E" w:rsidRPr="004C4BEF" w:rsidRDefault="0086391E" w:rsidP="0086391E">
      <w:pPr>
        <w:overflowPunct/>
        <w:autoSpaceDE/>
        <w:autoSpaceDN/>
        <w:adjustRightInd/>
        <w:spacing w:after="0" w:line="252" w:lineRule="auto"/>
        <w:rPr>
          <w:rFonts w:eastAsia="Times New Roman" w:cs="ヒラギノ角ゴ Pro W3"/>
          <w:color w:val="44546A" w:themeColor="text2"/>
          <w:kern w:val="24"/>
          <w:highlight w:val="green"/>
          <w:lang w:val="en-US"/>
        </w:rPr>
      </w:pPr>
    </w:p>
    <w:p w14:paraId="52AF5F48" w14:textId="68598641" w:rsidR="0086391E" w:rsidRDefault="0086391E" w:rsidP="0086391E">
      <w:pPr>
        <w:overflowPunct/>
        <w:autoSpaceDE/>
        <w:autoSpaceDN/>
        <w:adjustRightInd/>
        <w:spacing w:after="0" w:line="252" w:lineRule="auto"/>
        <w:contextualSpacing/>
        <w:rPr>
          <w:rFonts w:eastAsia="Times New Roman" w:cs="ヒラギノ角ゴ Pro W3"/>
          <w:kern w:val="24"/>
          <w:lang w:val="en-US"/>
        </w:rPr>
      </w:pPr>
      <w:r>
        <w:rPr>
          <w:rFonts w:eastAsia="Times New Roman" w:cs="ヒラギノ角ゴ Pro W3"/>
          <w:kern w:val="24"/>
          <w:lang w:val="en-US"/>
        </w:rPr>
        <w:t>We can consider two types of timing error. One is a constant timing error from antenna panel switching, another is timing jitter. Firstly, the timing jitter can be removed out by averaging or low pass filter, we can assume it is removed at system level simulations. Regarding the constant timing error per a TX/RX panel, a</w:t>
      </w:r>
      <w:r w:rsidRPr="000834F7">
        <w:rPr>
          <w:rFonts w:eastAsia="Times New Roman" w:cs="ヒラギノ角ゴ Pro W3"/>
          <w:kern w:val="24"/>
          <w:lang w:val="en-US"/>
        </w:rPr>
        <w:t>s long as the same antenna panel is used for bot</w:t>
      </w:r>
      <w:r>
        <w:rPr>
          <w:rFonts w:eastAsia="Times New Roman" w:cs="ヒラギノ角ゴ Pro W3"/>
          <w:kern w:val="24"/>
          <w:lang w:val="en-US"/>
        </w:rPr>
        <w:t xml:space="preserve">h gNB and UE, then we can assume it is known by a </w:t>
      </w:r>
      <w:proofErr w:type="gramStart"/>
      <w:r>
        <w:rPr>
          <w:rFonts w:eastAsia="Times New Roman" w:cs="ヒラギノ角ゴ Pro W3"/>
          <w:kern w:val="24"/>
          <w:lang w:val="en-US"/>
        </w:rPr>
        <w:t>separate reports</w:t>
      </w:r>
      <w:proofErr w:type="gramEnd"/>
      <w:r>
        <w:rPr>
          <w:rFonts w:eastAsia="Times New Roman" w:cs="ヒラギノ角ゴ Pro W3"/>
          <w:kern w:val="24"/>
          <w:lang w:val="en-US"/>
        </w:rPr>
        <w:t xml:space="preserve">, and </w:t>
      </w:r>
      <w:r w:rsidRPr="000834F7">
        <w:rPr>
          <w:rFonts w:eastAsia="Times New Roman" w:cs="ヒラギノ角ゴ Pro W3"/>
          <w:kern w:val="24"/>
          <w:lang w:val="en-US"/>
        </w:rPr>
        <w:t>timing error</w:t>
      </w:r>
      <w:r>
        <w:rPr>
          <w:rFonts w:eastAsia="Times New Roman" w:cs="ヒラギノ角ゴ Pro W3"/>
          <w:kern w:val="24"/>
          <w:lang w:val="en-US"/>
        </w:rPr>
        <w:t xml:space="preserve"> can be compensated</w:t>
      </w:r>
      <w:r w:rsidRPr="000834F7">
        <w:rPr>
          <w:rFonts w:eastAsia="Times New Roman" w:cs="ヒラギノ角ゴ Pro W3"/>
          <w:kern w:val="24"/>
          <w:lang w:val="en-US"/>
        </w:rPr>
        <w:t xml:space="preserve"> out </w:t>
      </w:r>
      <w:r>
        <w:rPr>
          <w:rFonts w:eastAsia="Times New Roman" w:cs="ヒラギノ角ゴ Pro W3"/>
          <w:kern w:val="24"/>
          <w:lang w:val="en-US"/>
        </w:rPr>
        <w:t xml:space="preserve">from </w:t>
      </w:r>
      <w:r w:rsidRPr="000834F7">
        <w:rPr>
          <w:rFonts w:eastAsia="Times New Roman" w:cs="ヒラギノ角ゴ Pro W3"/>
          <w:kern w:val="24"/>
          <w:lang w:val="en-US"/>
        </w:rPr>
        <w:t xml:space="preserve">RSTD measurement. Similarly, if the same antenna panel is used for the SRS transmission towards all </w:t>
      </w:r>
      <w:r>
        <w:rPr>
          <w:rFonts w:eastAsia="Times New Roman" w:cs="ヒラギノ角ゴ Pro W3"/>
          <w:kern w:val="24"/>
          <w:lang w:val="en-US"/>
        </w:rPr>
        <w:t>gNBs</w:t>
      </w:r>
      <w:r w:rsidRPr="000834F7">
        <w:rPr>
          <w:rFonts w:eastAsia="Times New Roman" w:cs="ヒラギノ角ゴ Pro W3"/>
          <w:kern w:val="24"/>
          <w:lang w:val="en-US"/>
        </w:rPr>
        <w:t>, the TX timing error</w:t>
      </w:r>
      <w:r>
        <w:rPr>
          <w:rFonts w:eastAsia="Times New Roman" w:cs="ヒラギノ角ゴ Pro W3"/>
          <w:kern w:val="24"/>
          <w:lang w:val="en-US"/>
        </w:rPr>
        <w:t xml:space="preserve"> be compensated</w:t>
      </w:r>
      <w:r w:rsidRPr="000834F7">
        <w:rPr>
          <w:rFonts w:eastAsia="Times New Roman" w:cs="ヒラギノ角ゴ Pro W3"/>
          <w:kern w:val="24"/>
          <w:lang w:val="en-US"/>
        </w:rPr>
        <w:t xml:space="preserve"> for </w:t>
      </w:r>
      <w:proofErr w:type="spellStart"/>
      <w:r>
        <w:rPr>
          <w:rFonts w:eastAsia="Times New Roman" w:cs="ヒラギノ角ゴ Pro W3"/>
          <w:kern w:val="24"/>
          <w:lang w:val="en-US"/>
        </w:rPr>
        <w:t>T</w:t>
      </w:r>
      <w:r w:rsidRPr="000834F7">
        <w:rPr>
          <w:rFonts w:eastAsia="Times New Roman" w:cs="ヒラギノ角ゴ Pro W3"/>
          <w:kern w:val="24"/>
          <w:lang w:val="en-US"/>
        </w:rPr>
        <w:t>D</w:t>
      </w:r>
      <w:r>
        <w:rPr>
          <w:rFonts w:eastAsia="Times New Roman" w:cs="ヒラギノ角ゴ Pro W3"/>
          <w:kern w:val="24"/>
          <w:lang w:val="en-US"/>
        </w:rPr>
        <w:t>o</w:t>
      </w:r>
      <w:r w:rsidRPr="000834F7">
        <w:rPr>
          <w:rFonts w:eastAsia="Times New Roman" w:cs="ヒラギノ角ゴ Pro W3"/>
          <w:kern w:val="24"/>
          <w:lang w:val="en-US"/>
        </w:rPr>
        <w:t>A</w:t>
      </w:r>
      <w:proofErr w:type="spellEnd"/>
      <w:r w:rsidRPr="000834F7">
        <w:rPr>
          <w:rFonts w:eastAsia="Times New Roman" w:cs="ヒラギノ角ゴ Pro W3"/>
          <w:kern w:val="24"/>
          <w:lang w:val="en-US"/>
        </w:rPr>
        <w:t xml:space="preserve">. However, </w:t>
      </w:r>
      <w:r>
        <w:rPr>
          <w:rFonts w:eastAsia="Times New Roman" w:cs="ヒラギノ角ゴ Pro W3"/>
          <w:kern w:val="24"/>
          <w:lang w:val="en-US"/>
        </w:rPr>
        <w:t xml:space="preserve">if </w:t>
      </w:r>
      <w:r w:rsidRPr="000834F7">
        <w:rPr>
          <w:rFonts w:eastAsia="Times New Roman" w:cs="ヒラギノ角ゴ Pro W3"/>
          <w:kern w:val="24"/>
          <w:lang w:val="en-US"/>
        </w:rPr>
        <w:t xml:space="preserve">different antenna panels are used </w:t>
      </w:r>
      <w:r>
        <w:rPr>
          <w:rFonts w:eastAsia="Times New Roman" w:cs="ヒラギノ角ゴ Pro W3"/>
          <w:kern w:val="24"/>
          <w:lang w:val="en-US"/>
        </w:rPr>
        <w:t>in FR2, things may become complex</w:t>
      </w:r>
      <w:r w:rsidRPr="000834F7">
        <w:rPr>
          <w:rFonts w:eastAsia="Times New Roman" w:cs="ヒラギノ角ゴ Pro W3"/>
          <w:kern w:val="24"/>
          <w:lang w:val="en-US"/>
        </w:rPr>
        <w:t>.</w:t>
      </w:r>
      <w:r>
        <w:rPr>
          <w:rFonts w:eastAsia="Times New Roman" w:cs="ヒラギノ角ゴ Pro W3"/>
          <w:kern w:val="24"/>
          <w:lang w:val="en-US"/>
        </w:rPr>
        <w:t xml:space="preserve"> We </w:t>
      </w:r>
      <w:r w:rsidR="27FF58B1">
        <w:rPr>
          <w:rFonts w:eastAsia="Times New Roman" w:cs="ヒラギノ角ゴ Pro W3"/>
          <w:kern w:val="24"/>
          <w:lang w:val="en-US"/>
        </w:rPr>
        <w:t>tend</w:t>
      </w:r>
      <w:r>
        <w:rPr>
          <w:rFonts w:eastAsia="Times New Roman" w:cs="ヒラギノ角ゴ Pro W3"/>
          <w:kern w:val="24"/>
          <w:lang w:val="en-US"/>
        </w:rPr>
        <w:t xml:space="preserve"> to agree that timing error can be a matter to </w:t>
      </w:r>
      <w:proofErr w:type="spellStart"/>
      <w:r>
        <w:rPr>
          <w:rFonts w:eastAsia="Times New Roman" w:cs="ヒラギノ角ゴ Pro W3"/>
          <w:kern w:val="24"/>
          <w:lang w:val="en-US"/>
        </w:rPr>
        <w:t>ToA</w:t>
      </w:r>
      <w:proofErr w:type="spellEnd"/>
      <w:r>
        <w:rPr>
          <w:rFonts w:eastAsia="Times New Roman" w:cs="ヒラギノ角ゴ Pro W3"/>
          <w:kern w:val="24"/>
          <w:lang w:val="en-US"/>
        </w:rPr>
        <w:t xml:space="preserve"> measurement especially with multi panel cases. Also, this</w:t>
      </w:r>
      <w:r w:rsidR="00BA450B">
        <w:rPr>
          <w:rFonts w:eastAsia="Times New Roman" w:cs="ヒラギノ角ゴ Pro W3"/>
          <w:kern w:val="24"/>
          <w:lang w:val="en-US"/>
        </w:rPr>
        <w:t xml:space="preserve"> has</w:t>
      </w:r>
      <w:r>
        <w:rPr>
          <w:rFonts w:eastAsia="Times New Roman" w:cs="ヒラギノ角ゴ Pro W3"/>
          <w:kern w:val="24"/>
          <w:lang w:val="en-US"/>
        </w:rPr>
        <w:t xml:space="preserve"> impact on high accuracy positioning performance as much as the timing error is given, the impacts to performance seems straightforward and </w:t>
      </w:r>
      <w:r w:rsidR="4C8FAA3F">
        <w:rPr>
          <w:rFonts w:eastAsia="Times New Roman" w:cs="ヒラギノ角ゴ Pro W3"/>
          <w:kern w:val="24"/>
          <w:lang w:val="en-US"/>
        </w:rPr>
        <w:t>obvious</w:t>
      </w:r>
      <w:r>
        <w:rPr>
          <w:rFonts w:eastAsia="Times New Roman" w:cs="ヒラギノ角ゴ Pro W3"/>
          <w:kern w:val="24"/>
          <w:lang w:val="en-US"/>
        </w:rPr>
        <w:t xml:space="preserve">. For example, if TX/RX timing error is given as </w:t>
      </w:r>
      <m:oMath>
        <m:r>
          <w:rPr>
            <w:rFonts w:ascii="Cambria Math" w:eastAsia="Times New Roman" w:hAnsi="Cambria Math" w:cs="ヒラギノ角ゴ Pro W3"/>
            <w:kern w:val="24"/>
            <w:lang w:val="en-US"/>
          </w:rPr>
          <m:t>∆t</m:t>
        </m:r>
      </m:oMath>
      <w:r>
        <w:rPr>
          <w:rFonts w:eastAsia="Times New Roman" w:cs="ヒラギノ角ゴ Pro W3"/>
          <w:kern w:val="24"/>
          <w:lang w:val="en-US"/>
        </w:rPr>
        <w:t xml:space="preserve"> from a random source, the positioning error can be </w:t>
      </w:r>
      <w:r w:rsidR="0CBB453D">
        <w:rPr>
          <w:rFonts w:eastAsia="Times New Roman" w:cs="ヒラギノ角ゴ Pro W3"/>
          <w:kern w:val="24"/>
          <w:lang w:val="en-US"/>
        </w:rPr>
        <w:t>induced</w:t>
      </w:r>
      <w:r>
        <w:rPr>
          <w:rFonts w:eastAsia="Times New Roman" w:cs="ヒラギノ角ゴ Pro W3"/>
          <w:kern w:val="24"/>
          <w:lang w:val="en-US"/>
        </w:rPr>
        <w:t xml:space="preserve"> without simulations. </w:t>
      </w:r>
    </w:p>
    <w:p w14:paraId="2CE72EB7" w14:textId="77777777" w:rsidR="0086391E" w:rsidRDefault="0086391E" w:rsidP="0086391E">
      <w:pPr>
        <w:overflowPunct/>
        <w:autoSpaceDE/>
        <w:autoSpaceDN/>
        <w:adjustRightInd/>
        <w:spacing w:after="0" w:line="252" w:lineRule="auto"/>
        <w:contextualSpacing/>
        <w:rPr>
          <w:rFonts w:eastAsia="Times New Roman" w:cs="ヒラギノ角ゴ Pro W3"/>
          <w:kern w:val="24"/>
          <w:lang w:val="en-US"/>
        </w:rPr>
      </w:pPr>
    </w:p>
    <w:p w14:paraId="1AFE5333" w14:textId="1AD7D4D9" w:rsidR="00AE193A" w:rsidRPr="004C4BEF" w:rsidRDefault="0086391E" w:rsidP="00AE193A">
      <w:r w:rsidRPr="004C4BEF">
        <w:rPr>
          <w:rFonts w:eastAsia="Times New Roman" w:cs="ヒラギノ角ゴ Pro W3"/>
          <w:b/>
          <w:bCs/>
          <w:kern w:val="24"/>
          <w:lang w:val="en-US"/>
        </w:rPr>
        <w:t xml:space="preserve">Observation </w:t>
      </w:r>
      <w:r w:rsidR="00FF11B9">
        <w:rPr>
          <w:rFonts w:eastAsia="Times New Roman" w:cs="ヒラギノ角ゴ Pro W3"/>
          <w:b/>
          <w:bCs/>
          <w:kern w:val="24"/>
          <w:lang w:val="en-US"/>
        </w:rPr>
        <w:t>1</w:t>
      </w:r>
      <w:r w:rsidRPr="004C4BEF">
        <w:rPr>
          <w:rFonts w:eastAsia="Times New Roman" w:cs="ヒラギノ角ゴ Pro W3"/>
          <w:b/>
          <w:bCs/>
          <w:kern w:val="24"/>
          <w:lang w:val="en-US"/>
        </w:rPr>
        <w:t>:</w:t>
      </w:r>
      <w:r>
        <w:rPr>
          <w:rFonts w:eastAsia="Times New Roman" w:cs="ヒラギノ角ゴ Pro W3"/>
          <w:kern w:val="24"/>
          <w:lang w:val="en-US"/>
        </w:rPr>
        <w:t xml:space="preserve"> We agree that timing error can be a matter to </w:t>
      </w:r>
      <w:proofErr w:type="spellStart"/>
      <w:r>
        <w:rPr>
          <w:rFonts w:eastAsia="Times New Roman" w:cs="ヒラギノ角ゴ Pro W3"/>
          <w:kern w:val="24"/>
          <w:lang w:val="en-US"/>
        </w:rPr>
        <w:t>ToA</w:t>
      </w:r>
      <w:proofErr w:type="spellEnd"/>
      <w:r>
        <w:rPr>
          <w:rFonts w:eastAsia="Times New Roman" w:cs="ヒラギノ角ゴ Pro W3"/>
          <w:kern w:val="24"/>
          <w:lang w:val="en-US"/>
        </w:rPr>
        <w:t xml:space="preserve"> measurement especially with multi antenna panel cases. </w:t>
      </w:r>
      <w:r w:rsidR="00BA450B">
        <w:rPr>
          <w:rFonts w:eastAsia="Times New Roman" w:cs="ヒラギノ角ゴ Pro W3"/>
          <w:kern w:val="24"/>
          <w:lang w:val="en-US"/>
        </w:rPr>
        <w:t xml:space="preserve">However, a detailed simulation of how this error impacts Tx/Rx measurements may require detailed study of the problem to accurately model it. The overall impact on the performance can be quantified without detailed simulations. </w:t>
      </w:r>
      <w:r w:rsidR="00AE193A" w:rsidRPr="004C4BEF">
        <w:t xml:space="preserve">  </w:t>
      </w:r>
    </w:p>
    <w:p w14:paraId="578109B3" w14:textId="4C41C128" w:rsidR="00BA450B" w:rsidRDefault="00BA450B" w:rsidP="0086391E">
      <w:pPr>
        <w:overflowPunct/>
        <w:autoSpaceDE/>
        <w:autoSpaceDN/>
        <w:adjustRightInd/>
        <w:spacing w:after="0" w:line="252" w:lineRule="auto"/>
        <w:contextualSpacing/>
        <w:rPr>
          <w:rFonts w:eastAsia="Times New Roman" w:cs="ヒラギノ角ゴ Pro W3"/>
          <w:kern w:val="24"/>
          <w:lang w:val="en-US"/>
        </w:rPr>
      </w:pPr>
      <w:r w:rsidRPr="00CA1587">
        <w:rPr>
          <w:rFonts w:eastAsia="Times New Roman" w:cs="ヒラギノ角ゴ Pro W3"/>
          <w:b/>
          <w:bCs/>
          <w:kern w:val="24"/>
          <w:lang w:val="en-US"/>
        </w:rPr>
        <w:t xml:space="preserve">Observation </w:t>
      </w:r>
      <w:r w:rsidR="00FF11B9">
        <w:rPr>
          <w:rFonts w:eastAsia="Times New Roman" w:cs="ヒラギノ角ゴ Pro W3"/>
          <w:b/>
          <w:bCs/>
          <w:kern w:val="24"/>
          <w:lang w:val="en-US"/>
        </w:rPr>
        <w:t>2</w:t>
      </w:r>
      <w:r>
        <w:rPr>
          <w:rFonts w:eastAsia="Times New Roman" w:cs="ヒラギノ角ゴ Pro W3"/>
          <w:kern w:val="24"/>
          <w:lang w:val="en-US"/>
        </w:rPr>
        <w:t xml:space="preserve">: RAN4 has also been discussing this issue and may better understand the appropriate modeling. </w:t>
      </w:r>
    </w:p>
    <w:p w14:paraId="0C1A378E" w14:textId="77777777" w:rsidR="00BA450B" w:rsidRDefault="00BA450B" w:rsidP="0086391E">
      <w:pPr>
        <w:overflowPunct/>
        <w:autoSpaceDE/>
        <w:autoSpaceDN/>
        <w:adjustRightInd/>
        <w:spacing w:after="0" w:line="252" w:lineRule="auto"/>
        <w:contextualSpacing/>
        <w:rPr>
          <w:rFonts w:eastAsia="Times New Roman" w:cs="ヒラギノ角ゴ Pro W3"/>
          <w:kern w:val="24"/>
          <w:lang w:val="en-US"/>
        </w:rPr>
      </w:pPr>
    </w:p>
    <w:p w14:paraId="67872622" w14:textId="1E6D912B" w:rsidR="0086391E" w:rsidRDefault="00BA450B" w:rsidP="0086391E">
      <w:pPr>
        <w:overflowPunct/>
        <w:autoSpaceDE/>
        <w:autoSpaceDN/>
        <w:adjustRightInd/>
        <w:spacing w:after="0" w:line="252" w:lineRule="auto"/>
        <w:contextualSpacing/>
        <w:rPr>
          <w:rFonts w:eastAsia="Times New Roman"/>
          <w:sz w:val="22"/>
          <w:szCs w:val="24"/>
          <w:lang w:val="en-US"/>
        </w:rPr>
      </w:pPr>
      <w:r>
        <w:rPr>
          <w:rFonts w:eastAsia="Times New Roman" w:cs="ヒラギノ角ゴ Pro W3"/>
          <w:kern w:val="24"/>
          <w:lang w:val="en-US"/>
        </w:rPr>
        <w:t xml:space="preserve">RAN1 should consider waiting for RAN4 progress in Rel-16 on this issue or at least consult RAN4 on any detailed agreements reached in Rel-17 on this topic. </w:t>
      </w:r>
    </w:p>
    <w:p w14:paraId="46CECAD5" w14:textId="77777777" w:rsidR="0086391E" w:rsidRDefault="0086391E" w:rsidP="0086391E">
      <w:pPr>
        <w:overflowPunct/>
        <w:autoSpaceDE/>
        <w:autoSpaceDN/>
        <w:adjustRightInd/>
        <w:spacing w:after="0" w:line="252" w:lineRule="auto"/>
        <w:rPr>
          <w:rFonts w:eastAsia="Times New Roman" w:cs="ヒラギノ角ゴ Pro W3"/>
          <w:color w:val="44546A" w:themeColor="text2"/>
          <w:kern w:val="24"/>
          <w:sz w:val="22"/>
          <w:szCs w:val="22"/>
          <w:highlight w:val="green"/>
          <w:lang w:val="en-US"/>
        </w:rPr>
      </w:pPr>
    </w:p>
    <w:p w14:paraId="0648171D" w14:textId="77777777" w:rsidR="0086391E" w:rsidRPr="001B66C7" w:rsidRDefault="0086391E" w:rsidP="0086391E">
      <w:pPr>
        <w:overflowPunct/>
        <w:autoSpaceDE/>
        <w:autoSpaceDN/>
        <w:adjustRightInd/>
        <w:spacing w:after="0" w:line="252" w:lineRule="auto"/>
        <w:contextualSpacing/>
        <w:rPr>
          <w:rFonts w:eastAsia="Times New Roman"/>
          <w:sz w:val="22"/>
          <w:szCs w:val="24"/>
          <w:lang w:val="en-US"/>
        </w:rPr>
      </w:pPr>
      <w:r w:rsidRPr="004C4BEF">
        <w:rPr>
          <w:rFonts w:eastAsia="Times New Roman" w:cs="ヒラギノ角ゴ Pro W3"/>
          <w:b/>
          <w:bCs/>
          <w:kern w:val="24"/>
          <w:sz w:val="22"/>
          <w:szCs w:val="22"/>
          <w:u w:val="single"/>
          <w:lang w:val="en-US"/>
        </w:rPr>
        <w:t xml:space="preserve">Physical layer latency </w:t>
      </w:r>
    </w:p>
    <w:p w14:paraId="16AB5CD3" w14:textId="77777777" w:rsidR="0086391E" w:rsidRPr="004C4BEF" w:rsidRDefault="0086391E" w:rsidP="0086391E">
      <w:pPr>
        <w:overflowPunct/>
        <w:autoSpaceDE/>
        <w:autoSpaceDN/>
        <w:adjustRightInd/>
        <w:spacing w:after="0"/>
        <w:contextualSpacing/>
        <w:rPr>
          <w:rFonts w:eastAsia="Times New Roman" w:cs="ヒラギノ角ゴ Pro W3"/>
          <w:kern w:val="24"/>
          <w:lang w:val="en-US"/>
        </w:rPr>
      </w:pPr>
      <w:r w:rsidRPr="004C4BEF">
        <w:rPr>
          <w:rFonts w:eastAsia="Times New Roman" w:cs="ヒラギノ角ゴ Pro W3"/>
          <w:kern w:val="24"/>
          <w:lang w:val="en-US"/>
        </w:rPr>
        <w:t xml:space="preserve">Physical layer latency </w:t>
      </w:r>
      <w:r>
        <w:rPr>
          <w:rFonts w:eastAsia="Times New Roman" w:cs="ヒラギノ角ゴ Pro W3"/>
          <w:kern w:val="24"/>
          <w:lang w:val="en-US"/>
        </w:rPr>
        <w:t>remains FFS from the last meeting. Typically,</w:t>
      </w:r>
      <w:r w:rsidRPr="004C4BEF">
        <w:rPr>
          <w:rFonts w:eastAsia="Times New Roman" w:cs="ヒラギノ角ゴ Pro W3"/>
          <w:kern w:val="24"/>
          <w:lang w:val="en-US"/>
        </w:rPr>
        <w:t xml:space="preserve"> </w:t>
      </w:r>
      <w:r>
        <w:rPr>
          <w:rFonts w:eastAsia="Times New Roman" w:cs="ヒラギノ角ゴ Pro W3"/>
          <w:kern w:val="24"/>
          <w:lang w:val="en-US"/>
        </w:rPr>
        <w:t>p</w:t>
      </w:r>
      <w:r w:rsidRPr="004C4BEF">
        <w:rPr>
          <w:rFonts w:eastAsia="Times New Roman" w:cs="ヒラギノ角ゴ Pro W3"/>
          <w:kern w:val="24"/>
          <w:lang w:val="en-US"/>
        </w:rPr>
        <w:t>hysical layer latency</w:t>
      </w:r>
      <w:r>
        <w:rPr>
          <w:rFonts w:eastAsia="Times New Roman" w:cs="ヒラギノ角ゴ Pro W3"/>
          <w:kern w:val="24"/>
          <w:lang w:val="en-US"/>
        </w:rPr>
        <w:t xml:space="preserve"> is caused from measurement averaging, and the averaging is possible in both UE and gNB/LMF nodes.</w:t>
      </w:r>
    </w:p>
    <w:p w14:paraId="4714C15A" w14:textId="77777777" w:rsidR="0086391E" w:rsidRDefault="0086391E" w:rsidP="0086391E">
      <w:pPr>
        <w:overflowPunct/>
        <w:autoSpaceDE/>
        <w:autoSpaceDN/>
        <w:adjustRightInd/>
        <w:spacing w:after="0"/>
        <w:contextualSpacing/>
        <w:rPr>
          <w:rFonts w:cs="Calibri"/>
          <w:color w:val="44546A" w:themeColor="text2"/>
          <w:kern w:val="24"/>
        </w:rPr>
      </w:pPr>
    </w:p>
    <w:p w14:paraId="024A641A" w14:textId="34104C06" w:rsidR="0086391E" w:rsidRPr="00CA1587" w:rsidRDefault="0086391E" w:rsidP="0086391E">
      <w:pPr>
        <w:overflowPunct/>
        <w:autoSpaceDE/>
        <w:autoSpaceDN/>
        <w:adjustRightInd/>
        <w:spacing w:after="0"/>
        <w:contextualSpacing/>
        <w:rPr>
          <w:rFonts w:cs="Calibri"/>
          <w:color w:val="000000" w:themeColor="text1"/>
          <w:kern w:val="24"/>
        </w:rPr>
      </w:pPr>
      <w:r w:rsidRPr="00CA1587">
        <w:rPr>
          <w:rFonts w:cs="Calibri"/>
          <w:color w:val="000000" w:themeColor="text1"/>
          <w:kern w:val="24"/>
        </w:rPr>
        <w:t xml:space="preserve">As </w:t>
      </w:r>
      <w:r w:rsidR="4F9C7E82" w:rsidRPr="00CA1587">
        <w:rPr>
          <w:rFonts w:cs="Calibri"/>
          <w:color w:val="000000" w:themeColor="text1"/>
          <w:kern w:val="24"/>
        </w:rPr>
        <w:t>baseline</w:t>
      </w:r>
      <w:r w:rsidRPr="00CA1587">
        <w:rPr>
          <w:rFonts w:cs="Calibri"/>
          <w:color w:val="000000" w:themeColor="text1"/>
          <w:kern w:val="24"/>
        </w:rPr>
        <w:t xml:space="preserve">, </w:t>
      </w:r>
      <w:r w:rsidRPr="00CA1587">
        <w:rPr>
          <w:rFonts w:eastAsia="Times New Roman" w:cs="ヒラギノ角ゴ Pro W3"/>
          <w:color w:val="000000" w:themeColor="text1"/>
          <w:kern w:val="24"/>
          <w:lang w:val="en-US"/>
        </w:rPr>
        <w:t xml:space="preserve">physical layer latency can be defined as PRS transmission period and transmission occasions (i.e. </w:t>
      </w:r>
      <m:oMath>
        <m:sSub>
          <m:sSubPr>
            <m:ctrlPr>
              <w:rPr>
                <w:rFonts w:ascii="Cambria Math" w:eastAsia="Times New Roman" w:hAnsi="Cambria Math" w:cs="ヒラギノ角ゴ Pro W3"/>
                <w:color w:val="000000" w:themeColor="text1"/>
                <w:kern w:val="24"/>
                <w:lang w:val="en-US"/>
              </w:rPr>
            </m:ctrlPr>
          </m:sSubPr>
          <m:e>
            <m:r>
              <m:rPr>
                <m:sty m:val="p"/>
              </m:rPr>
              <w:rPr>
                <w:rFonts w:ascii="Cambria Math" w:eastAsia="Times New Roman" w:hAnsi="Cambria Math" w:cs="ヒラギノ角ゴ Pro W3"/>
                <w:color w:val="000000" w:themeColor="text1"/>
                <w:kern w:val="24"/>
                <w:lang w:val="en-US"/>
              </w:rPr>
              <m:t>T</m:t>
            </m:r>
          </m:e>
          <m:sub>
            <m:r>
              <w:rPr>
                <w:rFonts w:ascii="Cambria Math" w:eastAsia="Times New Roman" w:hAnsi="Cambria Math" w:cs="ヒラギノ角ゴ Pro W3"/>
                <w:color w:val="000000" w:themeColor="text1"/>
                <w:kern w:val="24"/>
                <w:lang w:val="en-US"/>
              </w:rPr>
              <m:t>PRS</m:t>
            </m:r>
          </m:sub>
        </m:sSub>
        <m:r>
          <w:rPr>
            <w:rFonts w:ascii="Cambria Math" w:eastAsia="Times New Roman" w:hAnsi="Cambria Math" w:cs="ヒラギノ角ゴ Pro W3"/>
            <w:color w:val="000000" w:themeColor="text1"/>
            <w:kern w:val="24"/>
            <w:lang w:val="en-US"/>
          </w:rPr>
          <m:t xml:space="preserve"> ×N</m:t>
        </m:r>
      </m:oMath>
      <w:r w:rsidRPr="00CA1587">
        <w:rPr>
          <w:rFonts w:eastAsia="Times New Roman" w:cs="ヒラギノ角ゴ Pro W3"/>
          <w:color w:val="000000" w:themeColor="text1"/>
          <w:kern w:val="24"/>
          <w:lang w:val="en-US"/>
        </w:rPr>
        <w:t xml:space="preserve"> , </w:t>
      </w:r>
      <m:oMath>
        <m:r>
          <w:rPr>
            <w:rFonts w:ascii="Cambria Math" w:eastAsia="Times New Roman" w:hAnsi="Cambria Math" w:cs="ヒラギノ角ゴ Pro W3"/>
            <w:color w:val="000000" w:themeColor="text1"/>
            <w:kern w:val="24"/>
            <w:lang w:val="en-US"/>
          </w:rPr>
          <m:t>N≥1</m:t>
        </m:r>
      </m:oMath>
      <w:r w:rsidRPr="00CA1587">
        <w:rPr>
          <w:rFonts w:eastAsia="Times New Roman" w:cs="ヒラギノ角ゴ Pro W3"/>
          <w:color w:val="000000" w:themeColor="text1"/>
          <w:kern w:val="24"/>
          <w:lang w:val="en-US"/>
        </w:rPr>
        <w:t xml:space="preserve">) for one UE’s measurement report to </w:t>
      </w:r>
      <w:r w:rsidR="7CB4E588" w:rsidRPr="00CA1587">
        <w:rPr>
          <w:rFonts w:eastAsia="Times New Roman" w:cs="ヒラギノ角ゴ Pro W3"/>
          <w:color w:val="000000" w:themeColor="text1"/>
          <w:kern w:val="24"/>
          <w:lang w:val="en-US"/>
        </w:rPr>
        <w:t>satisfy</w:t>
      </w:r>
      <w:r w:rsidRPr="00CA1587">
        <w:rPr>
          <w:rFonts w:eastAsia="Times New Roman" w:cs="ヒラギノ角ゴ Pro W3"/>
          <w:color w:val="000000" w:themeColor="text1"/>
          <w:kern w:val="24"/>
          <w:lang w:val="en-US"/>
        </w:rPr>
        <w:t xml:space="preserve"> the accuracy requirement. </w:t>
      </w:r>
      <w:r w:rsidRPr="00CA1587">
        <w:rPr>
          <w:rFonts w:cs="Calibri"/>
          <w:color w:val="000000" w:themeColor="text1"/>
          <w:kern w:val="24"/>
          <w:lang w:val="en-US"/>
        </w:rPr>
        <w:t xml:space="preserve">Another useful averaging is possible in LMF side. LMF (or gNB) also can try average over multiple UE measurement report occasions. </w:t>
      </w:r>
      <w:r w:rsidRPr="00CA1587">
        <w:rPr>
          <w:rFonts w:eastAsia="Times New Roman" w:cs="ヒラギノ角ゴ Pro W3"/>
          <w:color w:val="000000" w:themeColor="text1"/>
          <w:kern w:val="24"/>
          <w:lang w:val="en-US"/>
        </w:rPr>
        <w:t xml:space="preserve">(i.e. </w:t>
      </w:r>
      <m:oMath>
        <m:sSub>
          <m:sSubPr>
            <m:ctrlPr>
              <w:rPr>
                <w:rFonts w:ascii="Cambria Math" w:eastAsia="Times New Roman" w:hAnsi="Cambria Math" w:cs="ヒラギノ角ゴ Pro W3"/>
                <w:color w:val="000000" w:themeColor="text1"/>
                <w:kern w:val="24"/>
                <w:lang w:val="en-US"/>
              </w:rPr>
            </m:ctrlPr>
          </m:sSubPr>
          <m:e>
            <m:r>
              <m:rPr>
                <m:sty m:val="p"/>
              </m:rPr>
              <w:rPr>
                <w:rFonts w:ascii="Cambria Math" w:eastAsia="Times New Roman" w:hAnsi="Cambria Math" w:cs="ヒラギノ角ゴ Pro W3"/>
                <w:color w:val="000000" w:themeColor="text1"/>
                <w:kern w:val="24"/>
                <w:lang w:val="en-US"/>
              </w:rPr>
              <m:t>T</m:t>
            </m:r>
          </m:e>
          <m:sub>
            <m:r>
              <w:rPr>
                <w:rFonts w:ascii="Cambria Math" w:eastAsia="Times New Roman" w:hAnsi="Cambria Math" w:cs="ヒラギノ角ゴ Pro W3"/>
                <w:color w:val="000000" w:themeColor="text1"/>
                <w:kern w:val="24"/>
                <w:lang w:val="en-US"/>
              </w:rPr>
              <m:t>Report</m:t>
            </m:r>
          </m:sub>
        </m:sSub>
        <m:r>
          <w:rPr>
            <w:rFonts w:ascii="Cambria Math" w:eastAsia="Times New Roman" w:hAnsi="Cambria Math" w:cs="ヒラギノ角ゴ Pro W3"/>
            <w:color w:val="000000" w:themeColor="text1"/>
            <w:kern w:val="24"/>
            <w:lang w:val="en-US"/>
          </w:rPr>
          <m:t xml:space="preserve"> ×N</m:t>
        </m:r>
      </m:oMath>
      <w:r w:rsidRPr="00CA1587">
        <w:rPr>
          <w:rFonts w:eastAsia="Times New Roman" w:cs="ヒラギノ角ゴ Pro W3"/>
          <w:color w:val="000000" w:themeColor="text1"/>
          <w:kern w:val="24"/>
          <w:lang w:val="en-US"/>
        </w:rPr>
        <w:t xml:space="preserve"> , </w:t>
      </w:r>
      <m:oMath>
        <m:r>
          <w:rPr>
            <w:rFonts w:ascii="Cambria Math" w:eastAsia="Times New Roman" w:hAnsi="Cambria Math" w:cs="ヒラギノ角ゴ Pro W3"/>
            <w:color w:val="000000" w:themeColor="text1"/>
            <w:kern w:val="24"/>
            <w:lang w:val="en-US"/>
          </w:rPr>
          <m:t>N≥1</m:t>
        </m:r>
      </m:oMath>
      <w:r w:rsidRPr="00CA1587">
        <w:rPr>
          <w:rFonts w:eastAsia="Times New Roman" w:cs="ヒラギノ角ゴ Pro W3"/>
          <w:color w:val="000000" w:themeColor="text1"/>
          <w:kern w:val="24"/>
          <w:lang w:val="en-US"/>
        </w:rPr>
        <w:t xml:space="preserve">). It is also possible and interesting latency to improve accuracy. Since we don’t see yet RAN1 definition of “physical layer latency”, RAN1 may define latency study scopes, and </w:t>
      </w:r>
      <w:r w:rsidRPr="00CA1587">
        <w:rPr>
          <w:rFonts w:cs="Calibri"/>
          <w:color w:val="000000" w:themeColor="text1"/>
          <w:kern w:val="24"/>
        </w:rPr>
        <w:t>Interested companies can study the latency performance with practical configurations and impairments.</w:t>
      </w:r>
      <w:r w:rsidR="00D91CE2">
        <w:rPr>
          <w:rFonts w:cs="Calibri"/>
          <w:color w:val="000000" w:themeColor="text1"/>
          <w:kern w:val="24"/>
        </w:rPr>
        <w:t xml:space="preserve"> See [3] for some discussion on latency as well. </w:t>
      </w:r>
    </w:p>
    <w:p w14:paraId="7AEEFB14" w14:textId="77777777" w:rsidR="0086391E" w:rsidRPr="00CA1587" w:rsidRDefault="0086391E" w:rsidP="0086391E">
      <w:pPr>
        <w:overflowPunct/>
        <w:autoSpaceDE/>
        <w:autoSpaceDN/>
        <w:adjustRightInd/>
        <w:spacing w:after="0"/>
        <w:contextualSpacing/>
        <w:rPr>
          <w:rFonts w:eastAsia="Times New Roman" w:cs="ヒラギノ角ゴ Pro W3"/>
          <w:color w:val="000000" w:themeColor="text1"/>
          <w:kern w:val="24"/>
        </w:rPr>
      </w:pPr>
    </w:p>
    <w:p w14:paraId="008418AD" w14:textId="77777777" w:rsidR="00A87FCC" w:rsidRPr="00CA1587" w:rsidRDefault="00A87FCC" w:rsidP="00A87FCC">
      <w:pPr>
        <w:overflowPunct/>
        <w:autoSpaceDE/>
        <w:autoSpaceDN/>
        <w:adjustRightInd/>
        <w:spacing w:after="0"/>
        <w:contextualSpacing/>
        <w:rPr>
          <w:rFonts w:eastAsia="Times New Roman" w:cs="ヒラギノ角ゴ Pro W3"/>
          <w:color w:val="000000" w:themeColor="text1"/>
          <w:kern w:val="24"/>
        </w:rPr>
      </w:pPr>
      <w:r w:rsidRPr="00CA1587">
        <w:rPr>
          <w:rFonts w:eastAsia="Times New Roman" w:cs="ヒラギノ角ゴ Pro W3"/>
          <w:b/>
          <w:bCs/>
          <w:color w:val="000000" w:themeColor="text1"/>
          <w:kern w:val="24"/>
        </w:rPr>
        <w:t xml:space="preserve">Proposal </w:t>
      </w:r>
      <w:r>
        <w:rPr>
          <w:rFonts w:eastAsia="Times New Roman" w:cs="ヒラギノ角ゴ Pro W3"/>
          <w:b/>
          <w:bCs/>
          <w:color w:val="000000" w:themeColor="text1"/>
          <w:kern w:val="24"/>
        </w:rPr>
        <w:t>4</w:t>
      </w:r>
      <w:r w:rsidRPr="00CA1587">
        <w:rPr>
          <w:rFonts w:eastAsia="Times New Roman" w:cs="ヒラギノ角ゴ Pro W3"/>
          <w:b/>
          <w:bCs/>
          <w:color w:val="000000" w:themeColor="text1"/>
          <w:kern w:val="24"/>
        </w:rPr>
        <w:t>:</w:t>
      </w:r>
      <w:r w:rsidRPr="00CA1587">
        <w:rPr>
          <w:rFonts w:eastAsia="Times New Roman" w:cs="ヒラギノ角ゴ Pro W3"/>
          <w:color w:val="000000" w:themeColor="text1"/>
          <w:kern w:val="24"/>
        </w:rPr>
        <w:t xml:space="preserve"> </w:t>
      </w:r>
      <w:r w:rsidRPr="00CA1587">
        <w:rPr>
          <w:rFonts w:eastAsia="Times New Roman" w:cs="ヒラギノ角ゴ Pro W3"/>
          <w:color w:val="000000" w:themeColor="text1"/>
          <w:kern w:val="24"/>
          <w:lang w:val="en-US"/>
        </w:rPr>
        <w:t xml:space="preserve">RAN1 may define </w:t>
      </w:r>
      <w:r>
        <w:rPr>
          <w:rFonts w:eastAsia="Times New Roman" w:cs="ヒラギノ角ゴ Pro W3"/>
          <w:color w:val="000000" w:themeColor="text1"/>
          <w:kern w:val="24"/>
          <w:lang w:val="en-US"/>
        </w:rPr>
        <w:t xml:space="preserve">the </w:t>
      </w:r>
      <w:r w:rsidRPr="00CA1587">
        <w:rPr>
          <w:rFonts w:eastAsia="Times New Roman" w:cs="ヒラギノ角ゴ Pro W3"/>
          <w:color w:val="000000" w:themeColor="text1"/>
          <w:kern w:val="24"/>
          <w:lang w:val="en-US"/>
        </w:rPr>
        <w:t xml:space="preserve">latency study scope, and </w:t>
      </w:r>
      <w:r>
        <w:rPr>
          <w:rFonts w:cs="Calibri"/>
          <w:color w:val="000000" w:themeColor="text1"/>
          <w:kern w:val="24"/>
        </w:rPr>
        <w:t>i</w:t>
      </w:r>
      <w:r w:rsidRPr="00CA1587">
        <w:rPr>
          <w:rFonts w:cs="Calibri"/>
          <w:color w:val="000000" w:themeColor="text1"/>
          <w:kern w:val="24"/>
        </w:rPr>
        <w:t>nterested companies can study the latency performance</w:t>
      </w:r>
    </w:p>
    <w:p w14:paraId="66B363B6" w14:textId="77777777" w:rsidR="00A87FCC" w:rsidRPr="00CA1587" w:rsidRDefault="00A87FCC" w:rsidP="00A87FCC">
      <w:pPr>
        <w:pStyle w:val="ListParagraph"/>
        <w:numPr>
          <w:ilvl w:val="0"/>
          <w:numId w:val="45"/>
        </w:numPr>
        <w:rPr>
          <w:rFonts w:eastAsia="Times New Roman" w:cs="ヒラギノ角ゴ Pro W3"/>
          <w:color w:val="000000" w:themeColor="text1"/>
          <w:kern w:val="24"/>
          <w:sz w:val="20"/>
          <w:szCs w:val="20"/>
          <w:lang w:val="en-US"/>
        </w:rPr>
      </w:pPr>
      <w:r w:rsidRPr="00CA1587">
        <w:rPr>
          <w:rFonts w:cs="Calibri"/>
          <w:color w:val="000000" w:themeColor="text1"/>
          <w:kern w:val="24"/>
          <w:sz w:val="20"/>
          <w:szCs w:val="20"/>
        </w:rPr>
        <w:lastRenderedPageBreak/>
        <w:t xml:space="preserve">As </w:t>
      </w:r>
      <w:r>
        <w:rPr>
          <w:rFonts w:cs="Calibri"/>
          <w:color w:val="000000" w:themeColor="text1"/>
          <w:kern w:val="24"/>
          <w:sz w:val="20"/>
          <w:szCs w:val="20"/>
        </w:rPr>
        <w:t xml:space="preserve">a </w:t>
      </w:r>
      <w:proofErr w:type="spellStart"/>
      <w:r w:rsidRPr="00CA1587">
        <w:rPr>
          <w:rFonts w:cs="Calibri"/>
          <w:color w:val="000000" w:themeColor="text1"/>
          <w:kern w:val="24"/>
          <w:sz w:val="20"/>
          <w:szCs w:val="20"/>
        </w:rPr>
        <w:t>baseline</w:t>
      </w:r>
      <w:proofErr w:type="spellEnd"/>
      <w:r w:rsidRPr="00CA1587">
        <w:rPr>
          <w:rFonts w:cs="Calibri"/>
          <w:color w:val="000000" w:themeColor="text1"/>
          <w:kern w:val="24"/>
          <w:sz w:val="20"/>
          <w:szCs w:val="20"/>
        </w:rPr>
        <w:t xml:space="preserve">, </w:t>
      </w:r>
      <w:proofErr w:type="spellStart"/>
      <w:r>
        <w:rPr>
          <w:rFonts w:cs="Calibri"/>
          <w:color w:val="000000" w:themeColor="text1"/>
          <w:kern w:val="24"/>
          <w:sz w:val="20"/>
          <w:szCs w:val="20"/>
        </w:rPr>
        <w:t>the</w:t>
      </w:r>
      <w:proofErr w:type="spellEnd"/>
      <w:r>
        <w:rPr>
          <w:rFonts w:cs="Calibri"/>
          <w:color w:val="000000" w:themeColor="text1"/>
          <w:kern w:val="24"/>
          <w:sz w:val="20"/>
          <w:szCs w:val="20"/>
        </w:rPr>
        <w:t xml:space="preserve"> </w:t>
      </w:r>
      <w:proofErr w:type="spellStart"/>
      <w:r w:rsidRPr="00CA1587">
        <w:rPr>
          <w:rFonts w:cs="Calibri"/>
          <w:color w:val="000000" w:themeColor="text1"/>
          <w:kern w:val="24"/>
          <w:sz w:val="20"/>
          <w:szCs w:val="20"/>
        </w:rPr>
        <w:t>latency</w:t>
      </w:r>
      <w:proofErr w:type="spellEnd"/>
      <w:r w:rsidRPr="00CA1587">
        <w:rPr>
          <w:rFonts w:cs="Calibri"/>
          <w:color w:val="000000" w:themeColor="text1"/>
          <w:kern w:val="24"/>
          <w:sz w:val="20"/>
          <w:szCs w:val="20"/>
        </w:rPr>
        <w:t xml:space="preserve"> of </w:t>
      </w:r>
      <w:r w:rsidRPr="00CA1587">
        <w:rPr>
          <w:rFonts w:eastAsia="Times New Roman" w:cs="ヒラギノ角ゴ Pro W3"/>
          <w:color w:val="000000" w:themeColor="text1"/>
          <w:kern w:val="24"/>
          <w:sz w:val="20"/>
          <w:szCs w:val="20"/>
          <w:lang w:val="en-US"/>
        </w:rPr>
        <w:t xml:space="preserve">PRS transmission period and transmission occasions (i.e. </w:t>
      </w:r>
      <m:oMath>
        <m:sSub>
          <m:sSubPr>
            <m:ctrlPr>
              <w:rPr>
                <w:rFonts w:ascii="Cambria Math" w:eastAsia="Times New Roman" w:hAnsi="Cambria Math" w:cs="ヒラギノ角ゴ Pro W3"/>
                <w:color w:val="000000" w:themeColor="text1"/>
                <w:kern w:val="24"/>
                <w:sz w:val="20"/>
                <w:szCs w:val="20"/>
                <w:lang w:val="en-US"/>
              </w:rPr>
            </m:ctrlPr>
          </m:sSubPr>
          <m:e>
            <m:r>
              <m:rPr>
                <m:sty m:val="p"/>
              </m:rPr>
              <w:rPr>
                <w:rFonts w:ascii="Cambria Math" w:eastAsia="Times New Roman" w:hAnsi="Cambria Math" w:cs="ヒラギノ角ゴ Pro W3"/>
                <w:color w:val="000000" w:themeColor="text1"/>
                <w:kern w:val="24"/>
                <w:sz w:val="20"/>
                <w:szCs w:val="20"/>
                <w:lang w:val="en-US"/>
              </w:rPr>
              <m:t>T</m:t>
            </m:r>
          </m:e>
          <m:sub>
            <m:r>
              <w:rPr>
                <w:rFonts w:ascii="Cambria Math" w:eastAsia="Times New Roman" w:hAnsi="Cambria Math" w:cs="ヒラギノ角ゴ Pro W3"/>
                <w:color w:val="000000" w:themeColor="text1"/>
                <w:kern w:val="24"/>
                <w:sz w:val="20"/>
                <w:szCs w:val="20"/>
                <w:lang w:val="en-US"/>
              </w:rPr>
              <m:t>PRS</m:t>
            </m:r>
          </m:sub>
        </m:sSub>
        <m:r>
          <w:rPr>
            <w:rFonts w:ascii="Cambria Math" w:eastAsia="Times New Roman" w:hAnsi="Cambria Math" w:cs="ヒラギノ角ゴ Pro W3"/>
            <w:color w:val="000000" w:themeColor="text1"/>
            <w:kern w:val="24"/>
            <w:sz w:val="20"/>
            <w:szCs w:val="20"/>
            <w:lang w:val="en-US"/>
          </w:rPr>
          <m:t xml:space="preserve"> ×N</m:t>
        </m:r>
      </m:oMath>
      <w:r w:rsidRPr="00CA1587">
        <w:rPr>
          <w:rFonts w:eastAsia="Times New Roman" w:cs="ヒラギノ角ゴ Pro W3"/>
          <w:color w:val="000000" w:themeColor="text1"/>
          <w:kern w:val="24"/>
          <w:sz w:val="20"/>
          <w:szCs w:val="20"/>
          <w:lang w:val="en-US"/>
        </w:rPr>
        <w:t xml:space="preserve"> , </w:t>
      </w:r>
      <m:oMath>
        <m:r>
          <w:rPr>
            <w:rFonts w:ascii="Cambria Math" w:eastAsia="Times New Roman" w:hAnsi="Cambria Math" w:cs="ヒラギノ角ゴ Pro W3"/>
            <w:color w:val="000000" w:themeColor="text1"/>
            <w:kern w:val="24"/>
            <w:sz w:val="20"/>
            <w:szCs w:val="20"/>
            <w:lang w:val="en-US"/>
          </w:rPr>
          <m:t>N≥1</m:t>
        </m:r>
      </m:oMath>
      <w:r w:rsidRPr="00CA1587">
        <w:rPr>
          <w:rFonts w:eastAsia="Times New Roman" w:cs="ヒラギノ角ゴ Pro W3"/>
          <w:color w:val="000000" w:themeColor="text1"/>
          <w:kern w:val="24"/>
          <w:sz w:val="20"/>
          <w:szCs w:val="20"/>
          <w:lang w:val="en-US"/>
        </w:rPr>
        <w:t>) for one UE’s measurement report to achieve the accuracy requirement</w:t>
      </w:r>
      <w:r>
        <w:rPr>
          <w:rFonts w:eastAsia="Times New Roman" w:cs="ヒラギノ角ゴ Pro W3"/>
          <w:color w:val="000000" w:themeColor="text1"/>
          <w:kern w:val="24"/>
          <w:sz w:val="20"/>
          <w:szCs w:val="20"/>
          <w:lang w:val="en-US"/>
        </w:rPr>
        <w:t xml:space="preserve"> can be used</w:t>
      </w:r>
      <w:r w:rsidRPr="00CA1587">
        <w:rPr>
          <w:rFonts w:eastAsia="Times New Roman" w:cs="ヒラギノ角ゴ Pro W3"/>
          <w:color w:val="000000" w:themeColor="text1"/>
          <w:kern w:val="24"/>
          <w:sz w:val="20"/>
          <w:szCs w:val="20"/>
          <w:lang w:val="en-US"/>
        </w:rPr>
        <w:t xml:space="preserve">. </w:t>
      </w:r>
    </w:p>
    <w:p w14:paraId="0B05262C" w14:textId="77777777" w:rsidR="00A87FCC" w:rsidRPr="00CA1587" w:rsidRDefault="00A87FCC" w:rsidP="00A87FCC">
      <w:pPr>
        <w:pStyle w:val="ListParagraph"/>
        <w:numPr>
          <w:ilvl w:val="0"/>
          <w:numId w:val="45"/>
        </w:numPr>
        <w:rPr>
          <w:rFonts w:eastAsia="Times New Roman" w:cs="ヒラギノ角ゴ Pro W3"/>
          <w:color w:val="000000" w:themeColor="text1"/>
          <w:kern w:val="24"/>
          <w:sz w:val="20"/>
          <w:szCs w:val="20"/>
          <w:lang w:val="en-GB"/>
        </w:rPr>
      </w:pPr>
      <w:r>
        <w:rPr>
          <w:rFonts w:cs="Calibri"/>
          <w:color w:val="000000" w:themeColor="text1"/>
          <w:kern w:val="24"/>
          <w:sz w:val="20"/>
          <w:szCs w:val="20"/>
          <w:lang w:val="en-US"/>
        </w:rPr>
        <w:t>L</w:t>
      </w:r>
      <w:r w:rsidRPr="00CA1587">
        <w:rPr>
          <w:rFonts w:cs="Calibri"/>
          <w:color w:val="000000" w:themeColor="text1"/>
          <w:kern w:val="24"/>
          <w:sz w:val="20"/>
          <w:szCs w:val="20"/>
          <w:lang w:val="en-US"/>
        </w:rPr>
        <w:t xml:space="preserve">atency of LMF averaging </w:t>
      </w:r>
      <w:r>
        <w:rPr>
          <w:rFonts w:cs="Calibri"/>
          <w:color w:val="000000" w:themeColor="text1"/>
          <w:kern w:val="24"/>
          <w:sz w:val="20"/>
          <w:szCs w:val="20"/>
          <w:lang w:val="en-US"/>
        </w:rPr>
        <w:t xml:space="preserve">can be considered </w:t>
      </w:r>
      <w:r w:rsidRPr="00CA1587">
        <w:rPr>
          <w:rFonts w:eastAsia="Times New Roman" w:cs="ヒラギノ角ゴ Pro W3"/>
          <w:color w:val="000000" w:themeColor="text1"/>
          <w:kern w:val="24"/>
          <w:sz w:val="20"/>
          <w:szCs w:val="20"/>
          <w:lang w:val="en-US"/>
        </w:rPr>
        <w:t xml:space="preserve">to achieve the accuracy requirement </w:t>
      </w:r>
      <w:r w:rsidRPr="00CA1587">
        <w:rPr>
          <w:rFonts w:cs="Calibri"/>
          <w:color w:val="000000" w:themeColor="text1"/>
          <w:kern w:val="24"/>
          <w:sz w:val="20"/>
          <w:szCs w:val="20"/>
          <w:lang w:val="en-US"/>
        </w:rPr>
        <w:t xml:space="preserve">over multiple UE measurement report occasions. </w:t>
      </w:r>
      <w:r w:rsidRPr="00CA1587">
        <w:rPr>
          <w:rFonts w:eastAsia="Times New Roman" w:cs="ヒラギノ角ゴ Pro W3"/>
          <w:color w:val="000000" w:themeColor="text1"/>
          <w:kern w:val="24"/>
          <w:sz w:val="20"/>
          <w:szCs w:val="20"/>
          <w:lang w:val="en-US"/>
        </w:rPr>
        <w:t xml:space="preserve">(i.e. </w:t>
      </w:r>
      <m:oMath>
        <m:sSub>
          <m:sSubPr>
            <m:ctrlPr>
              <w:rPr>
                <w:rFonts w:ascii="Cambria Math" w:eastAsia="Times New Roman" w:hAnsi="Cambria Math" w:cs="ヒラギノ角ゴ Pro W3"/>
                <w:color w:val="000000" w:themeColor="text1"/>
                <w:kern w:val="24"/>
                <w:sz w:val="20"/>
                <w:szCs w:val="20"/>
                <w:lang w:val="en-US"/>
              </w:rPr>
            </m:ctrlPr>
          </m:sSubPr>
          <m:e>
            <m:r>
              <m:rPr>
                <m:sty m:val="p"/>
              </m:rPr>
              <w:rPr>
                <w:rFonts w:ascii="Cambria Math" w:eastAsia="Times New Roman" w:hAnsi="Cambria Math" w:cs="ヒラギノ角ゴ Pro W3"/>
                <w:color w:val="000000" w:themeColor="text1"/>
                <w:kern w:val="24"/>
                <w:sz w:val="20"/>
                <w:szCs w:val="20"/>
                <w:lang w:val="en-US"/>
              </w:rPr>
              <m:t>T</m:t>
            </m:r>
          </m:e>
          <m:sub>
            <m:r>
              <w:rPr>
                <w:rFonts w:ascii="Cambria Math" w:eastAsia="Times New Roman" w:hAnsi="Cambria Math" w:cs="ヒラギノ角ゴ Pro W3"/>
                <w:color w:val="000000" w:themeColor="text1"/>
                <w:kern w:val="24"/>
                <w:sz w:val="20"/>
                <w:szCs w:val="20"/>
                <w:lang w:val="en-US"/>
              </w:rPr>
              <m:t>Report</m:t>
            </m:r>
          </m:sub>
        </m:sSub>
        <m:r>
          <w:rPr>
            <w:rFonts w:ascii="Cambria Math" w:eastAsia="Times New Roman" w:hAnsi="Cambria Math" w:cs="ヒラギノ角ゴ Pro W3"/>
            <w:color w:val="000000" w:themeColor="text1"/>
            <w:kern w:val="24"/>
            <w:sz w:val="20"/>
            <w:szCs w:val="20"/>
            <w:lang w:val="en-US"/>
          </w:rPr>
          <m:t xml:space="preserve"> ×N</m:t>
        </m:r>
      </m:oMath>
      <w:r w:rsidRPr="00CA1587">
        <w:rPr>
          <w:rFonts w:eastAsia="Times New Roman" w:cs="ヒラギノ角ゴ Pro W3"/>
          <w:color w:val="000000" w:themeColor="text1"/>
          <w:kern w:val="24"/>
          <w:sz w:val="20"/>
          <w:szCs w:val="20"/>
          <w:lang w:val="en-US"/>
        </w:rPr>
        <w:t xml:space="preserve"> , </w:t>
      </w:r>
      <m:oMath>
        <m:r>
          <w:rPr>
            <w:rFonts w:ascii="Cambria Math" w:eastAsia="Times New Roman" w:hAnsi="Cambria Math" w:cs="ヒラギノ角ゴ Pro W3"/>
            <w:color w:val="000000" w:themeColor="text1"/>
            <w:kern w:val="24"/>
            <w:sz w:val="20"/>
            <w:szCs w:val="20"/>
            <w:lang w:val="en-US"/>
          </w:rPr>
          <m:t>N≥1</m:t>
        </m:r>
      </m:oMath>
      <w:r w:rsidRPr="00CA1587">
        <w:rPr>
          <w:rFonts w:eastAsia="Times New Roman" w:cs="ヒラギノ角ゴ Pro W3"/>
          <w:color w:val="000000" w:themeColor="text1"/>
          <w:kern w:val="24"/>
          <w:sz w:val="20"/>
          <w:szCs w:val="20"/>
          <w:lang w:val="en-US"/>
        </w:rPr>
        <w:t>)</w:t>
      </w:r>
      <w:r>
        <w:rPr>
          <w:rFonts w:eastAsia="Times New Roman" w:cs="ヒラギノ角ゴ Pro W3"/>
          <w:color w:val="000000" w:themeColor="text1"/>
          <w:kern w:val="24"/>
          <w:sz w:val="20"/>
          <w:szCs w:val="20"/>
          <w:lang w:val="en-US"/>
        </w:rPr>
        <w:t>.</w:t>
      </w:r>
    </w:p>
    <w:p w14:paraId="5F9617E3" w14:textId="77777777" w:rsidR="00A87FCC" w:rsidRPr="00CA1587" w:rsidRDefault="00A87FCC" w:rsidP="00A87FCC">
      <w:pPr>
        <w:pStyle w:val="ListParagraph"/>
        <w:numPr>
          <w:ilvl w:val="0"/>
          <w:numId w:val="45"/>
        </w:numPr>
        <w:rPr>
          <w:rFonts w:eastAsia="Times New Roman" w:cs="ヒラギノ角ゴ Pro W3"/>
          <w:color w:val="000000" w:themeColor="text1"/>
          <w:kern w:val="24"/>
          <w:sz w:val="20"/>
          <w:szCs w:val="20"/>
          <w:lang w:val="en-GB"/>
        </w:rPr>
      </w:pPr>
      <w:r>
        <w:rPr>
          <w:rFonts w:cs="Calibri"/>
          <w:color w:val="000000" w:themeColor="text1"/>
          <w:kern w:val="24"/>
          <w:sz w:val="20"/>
          <w:szCs w:val="20"/>
          <w:lang w:val="en-US"/>
        </w:rPr>
        <w:t xml:space="preserve">The time for UE to report the measurements can be considered as well. </w:t>
      </w:r>
    </w:p>
    <w:p w14:paraId="3FBA01B3" w14:textId="77777777" w:rsidR="00B11E98" w:rsidRDefault="00B11E98" w:rsidP="0086391E">
      <w:pPr>
        <w:overflowPunct/>
        <w:autoSpaceDE/>
        <w:autoSpaceDN/>
        <w:adjustRightInd/>
        <w:spacing w:after="0"/>
        <w:contextualSpacing/>
        <w:rPr>
          <w:rFonts w:cs="Calibri"/>
          <w:color w:val="44546A" w:themeColor="text2"/>
          <w:kern w:val="24"/>
        </w:rPr>
      </w:pPr>
    </w:p>
    <w:p w14:paraId="7EF62F0D" w14:textId="4C540A16" w:rsidR="0086391E" w:rsidRDefault="00B11E98" w:rsidP="0086391E">
      <w:pPr>
        <w:overflowPunct/>
        <w:autoSpaceDE/>
        <w:autoSpaceDN/>
        <w:adjustRightInd/>
        <w:spacing w:after="0"/>
        <w:contextualSpacing/>
        <w:rPr>
          <w:rFonts w:cs="Calibri"/>
          <w:color w:val="44546A" w:themeColor="text2"/>
          <w:kern w:val="24"/>
        </w:rPr>
      </w:pPr>
      <w:r w:rsidRPr="00CA1587">
        <w:rPr>
          <w:rFonts w:cs="Calibri"/>
          <w:color w:val="000000" w:themeColor="text1"/>
          <w:kern w:val="24"/>
        </w:rPr>
        <w:t xml:space="preserve">The accuracy versus the measurement/reporting latency will be a main scope of the </w:t>
      </w:r>
      <w:proofErr w:type="spellStart"/>
      <w:r w:rsidRPr="00CA1587">
        <w:rPr>
          <w:rFonts w:cs="Calibri"/>
          <w:color w:val="000000" w:themeColor="text1"/>
          <w:kern w:val="24"/>
        </w:rPr>
        <w:t>IIoT</w:t>
      </w:r>
      <w:proofErr w:type="spellEnd"/>
      <w:r w:rsidRPr="00CA1587">
        <w:rPr>
          <w:rFonts w:cs="Calibri"/>
          <w:color w:val="000000" w:themeColor="text1"/>
          <w:kern w:val="24"/>
        </w:rPr>
        <w:t xml:space="preserve"> performance study scenario. We note that furthermore latency scopes including scheduling and configuration delay also exist, and they would be possible latency bottleneck</w:t>
      </w:r>
      <w:r w:rsidR="00FB1594">
        <w:rPr>
          <w:rFonts w:cs="Calibri"/>
          <w:color w:val="000000" w:themeColor="text1"/>
          <w:kern w:val="24"/>
        </w:rPr>
        <w:t>s</w:t>
      </w:r>
      <w:r w:rsidRPr="00CA1587">
        <w:rPr>
          <w:rFonts w:cs="Calibri"/>
          <w:color w:val="000000" w:themeColor="text1"/>
          <w:kern w:val="24"/>
        </w:rPr>
        <w:t xml:space="preserve">. The total latency will be caused including the high layer latency, so RAN1 can work on the further latency scopes in the positioning enhancement studies out of the </w:t>
      </w:r>
      <w:proofErr w:type="spellStart"/>
      <w:r w:rsidRPr="00CA1587">
        <w:rPr>
          <w:rFonts w:cs="Calibri"/>
          <w:color w:val="000000" w:themeColor="text1"/>
          <w:kern w:val="24"/>
        </w:rPr>
        <w:t>IIoT</w:t>
      </w:r>
      <w:proofErr w:type="spellEnd"/>
      <w:r w:rsidRPr="00CA1587">
        <w:rPr>
          <w:rFonts w:cs="Calibri"/>
          <w:color w:val="000000" w:themeColor="text1"/>
          <w:kern w:val="24"/>
        </w:rPr>
        <w:t xml:space="preserve"> scenario.</w:t>
      </w:r>
    </w:p>
    <w:p w14:paraId="45780EEB" w14:textId="77777777" w:rsidR="0086391E" w:rsidRDefault="0086391E" w:rsidP="0086391E">
      <w:pPr>
        <w:overflowPunct/>
        <w:autoSpaceDE/>
        <w:autoSpaceDN/>
        <w:adjustRightInd/>
        <w:spacing w:after="0"/>
        <w:contextualSpacing/>
        <w:rPr>
          <w:rFonts w:cs="Calibri"/>
          <w:color w:val="44546A" w:themeColor="text2"/>
          <w:kern w:val="24"/>
        </w:rPr>
      </w:pPr>
    </w:p>
    <w:p w14:paraId="29E11754" w14:textId="77777777" w:rsidR="0086391E" w:rsidRPr="004C4BEF" w:rsidRDefault="0086391E" w:rsidP="0086391E">
      <w:pPr>
        <w:overflowPunct/>
        <w:autoSpaceDE/>
        <w:autoSpaceDN/>
        <w:adjustRightInd/>
        <w:spacing w:after="0" w:line="252" w:lineRule="auto"/>
        <w:rPr>
          <w:rFonts w:eastAsia="Times New Roman" w:cs="ヒラギノ角ゴ Pro W3"/>
          <w:b/>
          <w:bCs/>
          <w:kern w:val="24"/>
          <w:sz w:val="22"/>
          <w:szCs w:val="22"/>
          <w:u w:val="single"/>
          <w:lang w:val="en-US"/>
        </w:rPr>
      </w:pPr>
      <w:r w:rsidRPr="004C4BEF">
        <w:rPr>
          <w:rFonts w:eastAsia="Times New Roman" w:cs="ヒラギノ角ゴ Pro W3"/>
          <w:b/>
          <w:bCs/>
          <w:kern w:val="24"/>
          <w:sz w:val="22"/>
          <w:szCs w:val="22"/>
          <w:u w:val="single"/>
          <w:lang w:val="en-US"/>
        </w:rPr>
        <w:t>Network efficiency and UE efficiency</w:t>
      </w:r>
    </w:p>
    <w:p w14:paraId="3B48AFB5" w14:textId="77777777" w:rsidR="0086391E" w:rsidRDefault="0086391E" w:rsidP="0086391E">
      <w:pPr>
        <w:overflowPunct/>
        <w:autoSpaceDE/>
        <w:autoSpaceDN/>
        <w:adjustRightInd/>
        <w:spacing w:after="0"/>
        <w:contextualSpacing/>
        <w:rPr>
          <w:rFonts w:eastAsia="Times New Roman"/>
          <w:szCs w:val="24"/>
          <w:lang w:val="en-US"/>
        </w:rPr>
      </w:pPr>
    </w:p>
    <w:tbl>
      <w:tblPr>
        <w:tblStyle w:val="TableGrid"/>
        <w:tblW w:w="0" w:type="auto"/>
        <w:tblLook w:val="04A0" w:firstRow="1" w:lastRow="0" w:firstColumn="1" w:lastColumn="0" w:noHBand="0" w:noVBand="1"/>
      </w:tblPr>
      <w:tblGrid>
        <w:gridCol w:w="9629"/>
      </w:tblGrid>
      <w:tr w:rsidR="0086391E" w14:paraId="191E8408" w14:textId="77777777" w:rsidTr="004C4BEF">
        <w:tc>
          <w:tcPr>
            <w:tcW w:w="9629" w:type="dxa"/>
          </w:tcPr>
          <w:p w14:paraId="6E898373" w14:textId="77777777" w:rsidR="0086391E" w:rsidRDefault="0086391E" w:rsidP="004C4BEF">
            <w:pPr>
              <w:overflowPunct/>
              <w:autoSpaceDE/>
              <w:autoSpaceDN/>
              <w:adjustRightInd/>
              <w:spacing w:after="0"/>
              <w:rPr>
                <w:rFonts w:ascii="Times" w:eastAsia="Batang" w:hAnsi="Times"/>
                <w:color w:val="44546A" w:themeColor="text2"/>
                <w:kern w:val="24"/>
              </w:rPr>
            </w:pPr>
            <w:r w:rsidRPr="004C4BEF">
              <w:rPr>
                <w:rFonts w:ascii="Times" w:eastAsia="Batang" w:hAnsi="Times"/>
                <w:color w:val="44546A" w:themeColor="text2"/>
                <w:kern w:val="24"/>
                <w:highlight w:val="green"/>
              </w:rPr>
              <w:t>Agreement:</w:t>
            </w:r>
          </w:p>
          <w:p w14:paraId="2C84C4AB" w14:textId="77777777" w:rsidR="0086391E" w:rsidRPr="004C4BEF" w:rsidRDefault="0086391E" w:rsidP="004C4BEF">
            <w:pPr>
              <w:overflowPunct/>
              <w:autoSpaceDE/>
              <w:autoSpaceDN/>
              <w:adjustRightInd/>
              <w:spacing w:after="0"/>
              <w:rPr>
                <w:rFonts w:eastAsia="Times New Roman"/>
                <w:lang w:val="en-US"/>
              </w:rPr>
            </w:pPr>
          </w:p>
          <w:p w14:paraId="7C79B18E" w14:textId="77777777" w:rsidR="0086391E" w:rsidRPr="004C4BEF" w:rsidRDefault="0086391E" w:rsidP="004C4BEF">
            <w:pPr>
              <w:overflowPunct/>
              <w:autoSpaceDE/>
              <w:autoSpaceDN/>
              <w:adjustRightInd/>
              <w:spacing w:after="0"/>
              <w:rPr>
                <w:rFonts w:eastAsia="Times New Roman"/>
                <w:lang w:val="en-US"/>
              </w:rPr>
            </w:pPr>
            <w:r w:rsidRPr="004C4BEF">
              <w:rPr>
                <w:rFonts w:ascii="Times" w:eastAsia="Batang" w:hAnsi="Times"/>
                <w:color w:val="44546A" w:themeColor="text2"/>
                <w:kern w:val="24"/>
              </w:rPr>
              <w:t>Network efficiency and UE efficiency can be evaluated at least in an analytical manner.</w:t>
            </w:r>
          </w:p>
          <w:p w14:paraId="639D81D4" w14:textId="77777777" w:rsidR="0086391E" w:rsidRPr="004C4BEF" w:rsidRDefault="0086391E" w:rsidP="004C4BEF">
            <w:pPr>
              <w:numPr>
                <w:ilvl w:val="0"/>
                <w:numId w:val="44"/>
              </w:numPr>
              <w:overflowPunct/>
              <w:autoSpaceDE/>
              <w:autoSpaceDN/>
              <w:adjustRightInd/>
              <w:spacing w:after="0"/>
              <w:ind w:left="1267"/>
              <w:contextualSpacing/>
              <w:rPr>
                <w:rFonts w:eastAsia="Times New Roman"/>
                <w:lang w:val="en-US"/>
              </w:rPr>
            </w:pPr>
            <w:r w:rsidRPr="004C4BEF">
              <w:rPr>
                <w:rFonts w:ascii="Times" w:eastAsia="Batang" w:hAnsi="Times"/>
                <w:color w:val="44546A" w:themeColor="text2"/>
                <w:kern w:val="24"/>
                <w:highlight w:val="yellow"/>
              </w:rPr>
              <w:t>FFS:</w:t>
            </w:r>
            <w:r w:rsidRPr="004C4BEF">
              <w:rPr>
                <w:rFonts w:ascii="Times" w:eastAsia="Batang" w:hAnsi="Times"/>
                <w:color w:val="44546A" w:themeColor="text2"/>
                <w:kern w:val="24"/>
              </w:rPr>
              <w:t xml:space="preserve"> the definition of efficiency metric (e.g., the positioning performance (accuracy, latency) vs. PRS/SRS </w:t>
            </w:r>
            <w:r w:rsidRPr="004C4BEF">
              <w:rPr>
                <w:rFonts w:ascii="Times" w:eastAsia="Times New Roman" w:hAnsi="Times" w:cs="Calibri"/>
                <w:color w:val="44546A" w:themeColor="text2"/>
                <w:kern w:val="24"/>
              </w:rPr>
              <w:t xml:space="preserve">resource utilization </w:t>
            </w:r>
            <w:r w:rsidRPr="004C4BEF">
              <w:rPr>
                <w:rFonts w:ascii="Times" w:eastAsia="Malgun Gothic" w:hAnsi="Times" w:cs="Calibri"/>
                <w:color w:val="44546A" w:themeColor="text2"/>
                <w:kern w:val="24"/>
              </w:rPr>
              <w:t>etc.)</w:t>
            </w:r>
          </w:p>
          <w:p w14:paraId="2C8A9BED" w14:textId="77777777" w:rsidR="0086391E" w:rsidRPr="004C4BEF" w:rsidRDefault="0086391E" w:rsidP="004C4BEF">
            <w:pPr>
              <w:numPr>
                <w:ilvl w:val="0"/>
                <w:numId w:val="44"/>
              </w:numPr>
              <w:overflowPunct/>
              <w:autoSpaceDE/>
              <w:autoSpaceDN/>
              <w:adjustRightInd/>
              <w:spacing w:after="0"/>
              <w:ind w:left="1267"/>
              <w:contextualSpacing/>
              <w:rPr>
                <w:rFonts w:eastAsia="Times New Roman"/>
                <w:lang w:val="en-US"/>
              </w:rPr>
            </w:pPr>
            <w:r w:rsidRPr="004C4BEF">
              <w:rPr>
                <w:rFonts w:ascii="Times" w:eastAsia="Batang" w:hAnsi="Times"/>
                <w:color w:val="44546A" w:themeColor="text2"/>
                <w:kern w:val="24"/>
              </w:rPr>
              <w:t>Note: It will be up to each company on whether to use other methods (e.g., numerical simulation) for the evaluation.</w:t>
            </w:r>
          </w:p>
          <w:p w14:paraId="5C8C9AE1" w14:textId="77777777" w:rsidR="0086391E" w:rsidRDefault="0086391E" w:rsidP="004C4BEF">
            <w:pPr>
              <w:overflowPunct/>
              <w:autoSpaceDE/>
              <w:autoSpaceDN/>
              <w:adjustRightInd/>
              <w:spacing w:after="0"/>
              <w:contextualSpacing/>
              <w:rPr>
                <w:rFonts w:eastAsia="Times New Roman"/>
                <w:szCs w:val="24"/>
                <w:lang w:val="en-US"/>
              </w:rPr>
            </w:pPr>
          </w:p>
        </w:tc>
      </w:tr>
    </w:tbl>
    <w:p w14:paraId="42BBD5A9" w14:textId="77777777" w:rsidR="0086391E" w:rsidRDefault="0086391E" w:rsidP="0086391E">
      <w:pPr>
        <w:overflowPunct/>
        <w:autoSpaceDE/>
        <w:autoSpaceDN/>
        <w:adjustRightInd/>
        <w:spacing w:after="0"/>
        <w:contextualSpacing/>
        <w:rPr>
          <w:rFonts w:eastAsia="Times New Roman"/>
          <w:szCs w:val="24"/>
          <w:lang w:val="en-US"/>
        </w:rPr>
      </w:pPr>
    </w:p>
    <w:p w14:paraId="2C9C4FF3" w14:textId="335C9A6B" w:rsidR="005F5625" w:rsidRDefault="00E53970" w:rsidP="0086391E">
      <w:pPr>
        <w:overflowPunct/>
        <w:autoSpaceDE/>
        <w:autoSpaceDN/>
        <w:adjustRightInd/>
        <w:spacing w:after="0"/>
        <w:contextualSpacing/>
      </w:pPr>
      <w:r w:rsidRPr="00DD80A9">
        <w:rPr>
          <w:rFonts w:eastAsia="Times New Roman"/>
          <w:lang w:val="en-US"/>
        </w:rPr>
        <w:t>If considering</w:t>
      </w:r>
      <w:r w:rsidR="00AB665A" w:rsidRPr="00DD80A9">
        <w:rPr>
          <w:rFonts w:eastAsia="Times New Roman"/>
          <w:lang w:val="en-US"/>
        </w:rPr>
        <w:t xml:space="preserve"> network efficiency over</w:t>
      </w:r>
      <w:r w:rsidRPr="00DD80A9">
        <w:rPr>
          <w:rFonts w:eastAsia="Times New Roman"/>
          <w:lang w:val="en-US"/>
        </w:rPr>
        <w:t xml:space="preserve"> positioning resources, </w:t>
      </w:r>
      <w:r w:rsidR="00AB665A" w:rsidRPr="00DD80A9">
        <w:rPr>
          <w:rFonts w:eastAsia="Times New Roman"/>
          <w:lang w:val="en-US"/>
        </w:rPr>
        <w:t xml:space="preserve">accuracy improvement over total </w:t>
      </w:r>
      <w:r w:rsidRPr="00DD80A9">
        <w:rPr>
          <w:rFonts w:eastAsia="Times New Roman"/>
          <w:lang w:val="en-US"/>
        </w:rPr>
        <w:t xml:space="preserve">PRS resources such as comb-N, pattern </w:t>
      </w:r>
      <w:r w:rsidR="0F71A9C2" w:rsidRPr="00DD80A9">
        <w:rPr>
          <w:rFonts w:eastAsia="Times New Roman"/>
          <w:lang w:val="en-US"/>
        </w:rPr>
        <w:t>repetition</w:t>
      </w:r>
      <w:r w:rsidRPr="00DD80A9">
        <w:rPr>
          <w:rFonts w:eastAsia="Times New Roman"/>
          <w:lang w:val="en-US"/>
        </w:rPr>
        <w:t xml:space="preserve"> and transmission periodicity</w:t>
      </w:r>
      <w:r w:rsidR="005F5625" w:rsidRPr="00DD80A9">
        <w:rPr>
          <w:rFonts w:eastAsia="Times New Roman"/>
          <w:lang w:val="en-US"/>
        </w:rPr>
        <w:t xml:space="preserve"> </w:t>
      </w:r>
      <w:proofErr w:type="spellStart"/>
      <w:r w:rsidR="005F5625" w:rsidRPr="00DD80A9">
        <w:rPr>
          <w:rFonts w:eastAsia="Times New Roman"/>
          <w:lang w:val="en-US"/>
        </w:rPr>
        <w:t>etc</w:t>
      </w:r>
      <w:proofErr w:type="spellEnd"/>
      <w:r w:rsidR="00AB665A" w:rsidRPr="00DD80A9">
        <w:rPr>
          <w:rFonts w:eastAsia="Times New Roman"/>
          <w:lang w:val="en-US"/>
        </w:rPr>
        <w:t xml:space="preserve"> can be a metric</w:t>
      </w:r>
      <w:r w:rsidR="005F5625" w:rsidRPr="00DD80A9">
        <w:rPr>
          <w:rFonts w:eastAsia="Times New Roman"/>
          <w:lang w:val="en-US"/>
        </w:rPr>
        <w:t>. This network efficiency can be studied in a different aspect from the latency study</w:t>
      </w:r>
      <w:r w:rsidR="00731378" w:rsidRPr="00DD80A9">
        <w:rPr>
          <w:rFonts w:eastAsia="Times New Roman"/>
          <w:lang w:val="en-US"/>
        </w:rPr>
        <w:t xml:space="preserve"> above</w:t>
      </w:r>
      <w:r w:rsidR="005F5625" w:rsidRPr="00DD80A9">
        <w:rPr>
          <w:rFonts w:eastAsia="Times New Roman"/>
          <w:lang w:val="en-US"/>
        </w:rPr>
        <w:t xml:space="preserve">. </w:t>
      </w:r>
      <w:r w:rsidR="00731378" w:rsidRPr="00DD80A9">
        <w:rPr>
          <w:rFonts w:eastAsia="Times New Roman"/>
          <w:lang w:val="en-US"/>
        </w:rPr>
        <w:t>RAN1</w:t>
      </w:r>
      <w:r w:rsidR="005F5625" w:rsidRPr="00DD80A9">
        <w:rPr>
          <w:rFonts w:eastAsia="Times New Roman"/>
          <w:lang w:val="en-US"/>
        </w:rPr>
        <w:t xml:space="preserve"> may define relative performance improvement </w:t>
      </w:r>
      <w:r w:rsidR="00731378" w:rsidRPr="00DD80A9">
        <w:rPr>
          <w:rFonts w:eastAsia="Times New Roman"/>
          <w:lang w:val="en-US"/>
        </w:rPr>
        <w:t xml:space="preserve">metric </w:t>
      </w:r>
      <w:r w:rsidR="005F5625" w:rsidRPr="00DD80A9">
        <w:rPr>
          <w:rFonts w:eastAsia="Times New Roman"/>
          <w:lang w:val="en-US"/>
        </w:rPr>
        <w:t>(</w:t>
      </w:r>
      <w:proofErr w:type="spellStart"/>
      <w:r w:rsidR="005F5625" w:rsidRPr="00DD80A9">
        <w:rPr>
          <w:rFonts w:eastAsia="Times New Roman"/>
          <w:lang w:val="en-US"/>
        </w:rPr>
        <w:t>i.e</w:t>
      </w:r>
      <w:proofErr w:type="spellEnd"/>
      <w:r w:rsidR="005F5625" w:rsidRPr="00DD80A9">
        <w:rPr>
          <w:rFonts w:eastAsia="Times New Roman"/>
          <w:lang w:val="en-US"/>
        </w:rPr>
        <w:t xml:space="preserve"> accuracy improvement under given PRS/SRS resource</w:t>
      </w:r>
      <w:r w:rsidR="00731378" w:rsidRPr="00DD80A9">
        <w:rPr>
          <w:rFonts w:eastAsia="Times New Roman"/>
          <w:lang w:val="en-US"/>
        </w:rPr>
        <w:t xml:space="preserve"> delta</w:t>
      </w:r>
      <w:r w:rsidR="005F5625" w:rsidRPr="00DD80A9">
        <w:rPr>
          <w:rFonts w:eastAsia="Times New Roman"/>
          <w:lang w:val="en-US"/>
        </w:rPr>
        <w:t xml:space="preserve">) for </w:t>
      </w:r>
      <w:r w:rsidR="005F5625">
        <w:t>network efficiency.</w:t>
      </w:r>
    </w:p>
    <w:p w14:paraId="29727334" w14:textId="77777777" w:rsidR="005F5625" w:rsidRDefault="005F5625" w:rsidP="0086391E">
      <w:pPr>
        <w:overflowPunct/>
        <w:autoSpaceDE/>
        <w:autoSpaceDN/>
        <w:adjustRightInd/>
        <w:spacing w:after="0"/>
        <w:contextualSpacing/>
      </w:pPr>
    </w:p>
    <w:p w14:paraId="3B009B6C" w14:textId="3E2FD149" w:rsidR="0086391E" w:rsidRDefault="005F5625" w:rsidP="0086391E">
      <w:pPr>
        <w:overflowPunct/>
        <w:autoSpaceDE/>
        <w:autoSpaceDN/>
        <w:adjustRightInd/>
        <w:spacing w:after="0"/>
        <w:contextualSpacing/>
        <w:rPr>
          <w:rFonts w:eastAsia="Times New Roman"/>
          <w:szCs w:val="24"/>
          <w:lang w:val="en-US"/>
        </w:rPr>
      </w:pPr>
      <w:r>
        <w:t>F</w:t>
      </w:r>
      <w:r w:rsidRPr="00CA1587">
        <w:rPr>
          <w:rFonts w:eastAsia="Times New Roman"/>
          <w:szCs w:val="24"/>
          <w:lang w:val="en-US"/>
        </w:rPr>
        <w:t>or UE efficiency</w:t>
      </w:r>
      <w:r w:rsidR="00AB665A">
        <w:rPr>
          <w:rFonts w:eastAsia="Times New Roman"/>
          <w:szCs w:val="24"/>
          <w:lang w:val="en-US"/>
        </w:rPr>
        <w:t xml:space="preserve">, one way for UE-based positioning methods may make the </w:t>
      </w:r>
      <w:r w:rsidR="00AB665A" w:rsidRPr="00CA1587">
        <w:rPr>
          <w:rFonts w:eastAsia="Times New Roman"/>
          <w:color w:val="000000" w:themeColor="text1"/>
          <w:szCs w:val="24"/>
          <w:lang w:val="en-US"/>
        </w:rPr>
        <w:t xml:space="preserve">same </w:t>
      </w:r>
      <w:r w:rsidR="00731378" w:rsidRPr="00CA1587">
        <w:rPr>
          <w:rFonts w:ascii="Times" w:eastAsia="Batang" w:hAnsi="Times"/>
          <w:color w:val="000000" w:themeColor="text1"/>
          <w:kern w:val="24"/>
        </w:rPr>
        <w:t xml:space="preserve">efficiency calculation </w:t>
      </w:r>
      <w:proofErr w:type="gramStart"/>
      <w:r w:rsidR="00AB665A" w:rsidRPr="00CA1587">
        <w:rPr>
          <w:rFonts w:eastAsia="Times New Roman"/>
          <w:color w:val="000000" w:themeColor="text1"/>
          <w:szCs w:val="24"/>
          <w:lang w:val="en-US"/>
        </w:rPr>
        <w:t>like</w:t>
      </w:r>
      <w:proofErr w:type="gramEnd"/>
      <w:r w:rsidR="00AB665A" w:rsidRPr="00CA1587">
        <w:rPr>
          <w:rFonts w:eastAsia="Times New Roman"/>
          <w:color w:val="000000" w:themeColor="text1"/>
          <w:szCs w:val="24"/>
          <w:lang w:val="en-US"/>
        </w:rPr>
        <w:t xml:space="preserve"> accuracy improvement over total PRS resources. However, </w:t>
      </w:r>
      <w:r w:rsidR="00731378">
        <w:rPr>
          <w:rFonts w:eastAsia="Times New Roman"/>
          <w:color w:val="000000" w:themeColor="text1"/>
          <w:szCs w:val="24"/>
          <w:lang w:val="en-US"/>
        </w:rPr>
        <w:t xml:space="preserve">in general, </w:t>
      </w:r>
      <w:r w:rsidR="00731378" w:rsidRPr="00CA1587">
        <w:rPr>
          <w:rFonts w:eastAsia="Times New Roman"/>
          <w:color w:val="000000" w:themeColor="text1"/>
          <w:szCs w:val="24"/>
          <w:lang w:val="en-US"/>
        </w:rPr>
        <w:t xml:space="preserve">the </w:t>
      </w:r>
      <w:r w:rsidR="00AB665A" w:rsidRPr="00CA1587">
        <w:rPr>
          <w:rFonts w:eastAsia="Times New Roman"/>
          <w:color w:val="000000" w:themeColor="text1"/>
          <w:szCs w:val="24"/>
          <w:lang w:val="en-US"/>
        </w:rPr>
        <w:t xml:space="preserve">UE efficiency is more </w:t>
      </w:r>
      <w:r w:rsidR="00AB665A">
        <w:rPr>
          <w:rFonts w:eastAsia="Times New Roman"/>
          <w:szCs w:val="24"/>
          <w:lang w:val="en-US"/>
        </w:rPr>
        <w:t xml:space="preserve">importantly considered with </w:t>
      </w:r>
      <w:r w:rsidR="00731378">
        <w:rPr>
          <w:rFonts w:eastAsia="Times New Roman"/>
          <w:szCs w:val="24"/>
          <w:lang w:val="en-US"/>
        </w:rPr>
        <w:t xml:space="preserve">UE </w:t>
      </w:r>
      <w:r w:rsidR="00AB665A">
        <w:rPr>
          <w:rFonts w:eastAsia="Times New Roman"/>
          <w:szCs w:val="24"/>
          <w:lang w:val="en-US"/>
        </w:rPr>
        <w:t xml:space="preserve">power consumption, </w:t>
      </w:r>
      <w:r w:rsidR="00731378">
        <w:rPr>
          <w:rFonts w:eastAsia="Times New Roman"/>
          <w:szCs w:val="24"/>
          <w:lang w:val="en-US"/>
        </w:rPr>
        <w:t xml:space="preserve">more information is expected to from UE venders. </w:t>
      </w:r>
    </w:p>
    <w:p w14:paraId="70ADFB64" w14:textId="77777777" w:rsidR="00E53970" w:rsidRPr="001B66C7" w:rsidRDefault="00E53970" w:rsidP="0086391E">
      <w:pPr>
        <w:overflowPunct/>
        <w:autoSpaceDE/>
        <w:autoSpaceDN/>
        <w:adjustRightInd/>
        <w:spacing w:after="0"/>
        <w:contextualSpacing/>
        <w:rPr>
          <w:rFonts w:eastAsia="Times New Roman"/>
          <w:szCs w:val="24"/>
          <w:lang w:val="en-US"/>
        </w:rPr>
      </w:pPr>
    </w:p>
    <w:p w14:paraId="42497740" w14:textId="77777777" w:rsidR="00FE7CAA" w:rsidRPr="00D81414" w:rsidRDefault="00FE7CAA" w:rsidP="00FE7CAA">
      <w:r w:rsidRPr="00CA1587">
        <w:rPr>
          <w:b/>
          <w:bCs/>
        </w:rPr>
        <w:t xml:space="preserve">Proposal </w:t>
      </w:r>
      <w:r>
        <w:rPr>
          <w:b/>
          <w:bCs/>
        </w:rPr>
        <w:t>5</w:t>
      </w:r>
      <w:r w:rsidRPr="004C4BEF">
        <w:t xml:space="preserve">: </w:t>
      </w:r>
      <w:r>
        <w:t xml:space="preserve">Interested companies can study positioning performance accuracy over resource allocation/configuration (e.g., comb size, number of symbols, etc) and PRS transmission occasions as PRS/SRS resource utilization. </w:t>
      </w:r>
    </w:p>
    <w:p w14:paraId="2D7352BE" w14:textId="77777777" w:rsidR="0086391E" w:rsidRPr="00D81414" w:rsidRDefault="0086391E" w:rsidP="0086391E">
      <w:pPr>
        <w:pStyle w:val="Heading1"/>
        <w:rPr>
          <w:color w:val="000000" w:themeColor="text1"/>
        </w:rPr>
      </w:pPr>
      <w:bookmarkStart w:id="1" w:name="_GoBack"/>
      <w:bookmarkEnd w:id="1"/>
      <w:r w:rsidRPr="00D81414">
        <w:rPr>
          <w:color w:val="000000" w:themeColor="text1"/>
        </w:rPr>
        <w:t>Conclusion</w:t>
      </w:r>
    </w:p>
    <w:p w14:paraId="3C3A0676" w14:textId="77777777" w:rsidR="0086391E" w:rsidRPr="00D81414" w:rsidRDefault="0086391E" w:rsidP="0086391E">
      <w:pPr>
        <w:spacing w:afterLines="50" w:after="120"/>
        <w:rPr>
          <w:color w:val="000000" w:themeColor="text1"/>
          <w:lang w:val="en-US"/>
        </w:rPr>
      </w:pPr>
      <w:r w:rsidRPr="00E2789D">
        <w:rPr>
          <w:color w:val="000000" w:themeColor="text1"/>
          <w:lang w:val="en-US"/>
        </w:rPr>
        <w:t>In this contribution we make the following proposals and observations:</w:t>
      </w:r>
    </w:p>
    <w:p w14:paraId="2461FE70" w14:textId="38B9DC94" w:rsidR="00FF11B9" w:rsidRDefault="00FF11B9" w:rsidP="00FF11B9">
      <w:r w:rsidRPr="008302B5">
        <w:rPr>
          <w:b/>
          <w:bCs/>
        </w:rPr>
        <w:t xml:space="preserve">Proposal </w:t>
      </w:r>
      <w:r>
        <w:rPr>
          <w:b/>
          <w:bCs/>
        </w:rPr>
        <w:t>1</w:t>
      </w:r>
      <w:r>
        <w:t xml:space="preserve">: Approximate absolute time of arrival models for </w:t>
      </w:r>
      <w:proofErr w:type="spellStart"/>
      <w:r>
        <w:t>UMi</w:t>
      </w:r>
      <w:proofErr w:type="spellEnd"/>
      <w:r>
        <w:t xml:space="preserve">, </w:t>
      </w:r>
      <w:proofErr w:type="spellStart"/>
      <w:r>
        <w:t>UMa</w:t>
      </w:r>
      <w:proofErr w:type="spellEnd"/>
      <w:r>
        <w:t xml:space="preserve">, and IOO scenarios are applicable however, some parameters of the absolute time of arrival models </w:t>
      </w:r>
      <w:r w:rsidR="00855D1D">
        <w:t xml:space="preserve">are </w:t>
      </w:r>
      <w:r>
        <w:t xml:space="preserve">left to individual companies.   </w:t>
      </w:r>
    </w:p>
    <w:p w14:paraId="5E6AD20C" w14:textId="77777777" w:rsidR="00FF11B9" w:rsidRPr="00CA1587" w:rsidRDefault="00FF11B9" w:rsidP="00FF11B9">
      <w:pPr>
        <w:pStyle w:val="ListParagraph"/>
        <w:numPr>
          <w:ilvl w:val="0"/>
          <w:numId w:val="45"/>
        </w:numPr>
        <w:rPr>
          <w:sz w:val="20"/>
          <w:szCs w:val="20"/>
        </w:rPr>
      </w:pPr>
      <w:r w:rsidRPr="004C4BEF">
        <w:rPr>
          <w:sz w:val="20"/>
          <w:szCs w:val="20"/>
        </w:rPr>
        <w:t xml:space="preserve">One </w:t>
      </w:r>
      <w:proofErr w:type="spellStart"/>
      <w:r w:rsidRPr="004C4BEF">
        <w:rPr>
          <w:sz w:val="20"/>
          <w:szCs w:val="20"/>
        </w:rPr>
        <w:t>way</w:t>
      </w:r>
      <w:proofErr w:type="spellEnd"/>
      <w:r w:rsidRPr="004C4BEF">
        <w:rPr>
          <w:sz w:val="20"/>
          <w:szCs w:val="20"/>
        </w:rPr>
        <w:t xml:space="preserve"> is to </w:t>
      </w:r>
      <w:proofErr w:type="spellStart"/>
      <w:r w:rsidRPr="004C4BEF">
        <w:rPr>
          <w:sz w:val="20"/>
          <w:szCs w:val="20"/>
        </w:rPr>
        <w:t>add</w:t>
      </w:r>
      <w:proofErr w:type="spellEnd"/>
      <w:r w:rsidRPr="004C4BEF">
        <w:rPr>
          <w:sz w:val="20"/>
          <w:szCs w:val="20"/>
        </w:rPr>
        <w:t xml:space="preserve"> </w:t>
      </w:r>
      <w:r>
        <w:rPr>
          <w:sz w:val="20"/>
          <w:szCs w:val="20"/>
        </w:rPr>
        <w:t xml:space="preserve">an </w:t>
      </w:r>
      <w:proofErr w:type="spellStart"/>
      <w:r w:rsidRPr="004C4BEF">
        <w:rPr>
          <w:sz w:val="20"/>
          <w:szCs w:val="20"/>
        </w:rPr>
        <w:t>additional</w:t>
      </w:r>
      <w:proofErr w:type="spellEnd"/>
      <w:r w:rsidRPr="004C4BEF">
        <w:rPr>
          <w:sz w:val="20"/>
          <w:szCs w:val="20"/>
        </w:rPr>
        <w:t xml:space="preserve"> </w:t>
      </w:r>
      <w:proofErr w:type="spellStart"/>
      <w:r w:rsidRPr="004C4BEF">
        <w:rPr>
          <w:sz w:val="20"/>
          <w:szCs w:val="20"/>
        </w:rPr>
        <w:t>delay</w:t>
      </w:r>
      <w:proofErr w:type="spellEnd"/>
      <w:r w:rsidRPr="004C4BEF">
        <w:rPr>
          <w:sz w:val="20"/>
          <w:szCs w:val="20"/>
        </w:rPr>
        <w:t xml:space="preserve"> </w:t>
      </w:r>
      <w:proofErr w:type="spellStart"/>
      <w:r w:rsidRPr="004C4BEF">
        <w:rPr>
          <w:sz w:val="20"/>
          <w:szCs w:val="20"/>
        </w:rPr>
        <w:t>with</w:t>
      </w:r>
      <w:proofErr w:type="spellEnd"/>
      <w:r w:rsidRPr="004C4BEF">
        <w:rPr>
          <w:sz w:val="20"/>
          <w:szCs w:val="20"/>
        </w:rPr>
        <w:t xml:space="preserve"> </w:t>
      </w:r>
      <w:proofErr w:type="spellStart"/>
      <w:r w:rsidRPr="004C4BEF">
        <w:rPr>
          <w:sz w:val="20"/>
          <w:szCs w:val="20"/>
        </w:rPr>
        <w:t>absolute</w:t>
      </w:r>
      <w:proofErr w:type="spellEnd"/>
      <w:r w:rsidRPr="004C4BEF">
        <w:rPr>
          <w:sz w:val="20"/>
          <w:szCs w:val="20"/>
        </w:rPr>
        <w:t xml:space="preserve"> </w:t>
      </w:r>
      <w:r>
        <w:rPr>
          <w:sz w:val="20"/>
          <w:szCs w:val="20"/>
        </w:rPr>
        <w:t xml:space="preserve">LOS </w:t>
      </w:r>
      <w:proofErr w:type="spellStart"/>
      <w:r>
        <w:rPr>
          <w:sz w:val="20"/>
          <w:szCs w:val="20"/>
        </w:rPr>
        <w:t>delay</w:t>
      </w:r>
      <w:proofErr w:type="spellEnd"/>
      <w:r w:rsidRPr="004C4BEF">
        <w:rPr>
          <w:sz w:val="20"/>
          <w:szCs w:val="20"/>
        </w:rPr>
        <w:t xml:space="preserve"> </w:t>
      </w:r>
      <m:oMath>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num>
          <m:den>
            <m:r>
              <w:rPr>
                <w:rFonts w:ascii="Cambria Math" w:hAnsi="Cambria Math"/>
                <w:sz w:val="20"/>
                <w:szCs w:val="20"/>
              </w:rPr>
              <m:t>c</m:t>
            </m:r>
          </m:den>
        </m:f>
        <m:r>
          <w:rPr>
            <w:rFonts w:ascii="Cambria Math" w:hAnsi="Cambria Math"/>
            <w:sz w:val="20"/>
            <w:szCs w:val="20"/>
          </w:rPr>
          <m:t xml:space="preserve"> </m:t>
        </m:r>
      </m:oMath>
      <w:r w:rsidRPr="004C4BEF">
        <w:rPr>
          <w:sz w:val="20"/>
          <w:szCs w:val="20"/>
        </w:rPr>
        <w:t xml:space="preserve"> to LOS and NLOS fast fading channels to </w:t>
      </w:r>
      <w:r w:rsidRPr="004C4BEF">
        <w:rPr>
          <w:sz w:val="20"/>
          <w:szCs w:val="20"/>
          <w:lang w:val="en-US" w:eastAsia="ko-KR"/>
        </w:rPr>
        <w:t>(7.5-27) and (7.5-30)</w:t>
      </w:r>
      <w:r w:rsidRPr="004C4BEF">
        <w:rPr>
          <w:sz w:val="20"/>
          <w:szCs w:val="20"/>
          <w:lang w:val="en-US"/>
        </w:rPr>
        <w:t xml:space="preserve"> </w:t>
      </w:r>
      <w:r>
        <w:rPr>
          <w:sz w:val="20"/>
          <w:szCs w:val="20"/>
          <w:lang w:val="en-US"/>
        </w:rPr>
        <w:t xml:space="preserve">respectively </w:t>
      </w:r>
      <w:r w:rsidRPr="004C4BEF">
        <w:rPr>
          <w:sz w:val="20"/>
          <w:szCs w:val="20"/>
          <w:lang w:val="en-US"/>
        </w:rPr>
        <w:t>in TR38.901.</w:t>
      </w:r>
    </w:p>
    <w:p w14:paraId="4308FB83" w14:textId="77777777" w:rsidR="00FF11B9" w:rsidRPr="00CA1587" w:rsidRDefault="00FF11B9" w:rsidP="00FF11B9">
      <w:pPr>
        <w:pStyle w:val="ListParagraph"/>
        <w:ind w:left="640"/>
        <w:rPr>
          <w:sz w:val="20"/>
          <w:szCs w:val="20"/>
          <w:lang w:val="en-US" w:eastAsia="ko-KR"/>
        </w:rPr>
      </w:pPr>
      <w:r w:rsidRPr="00CA1587">
        <w:rPr>
          <w:sz w:val="20"/>
          <w:szCs w:val="20"/>
          <w:lang w:val="en-US" w:eastAsia="ko-KR"/>
        </w:rPr>
        <w:t xml:space="preserve">The excess delay </w:t>
      </w:r>
      <m:oMath>
        <m:r>
          <m:rPr>
            <m:sty m:val="b"/>
          </m:rPr>
          <w:rPr>
            <w:rFonts w:ascii="Cambria Math" w:hAnsi="Cambria Math"/>
            <w:sz w:val="20"/>
            <w:szCs w:val="20"/>
            <w:lang w:val="en-US" w:eastAsia="ko-KR"/>
          </w:rPr>
          <m:t>Δ</m:t>
        </m:r>
        <m:r>
          <m:rPr>
            <m:sty m:val="bi"/>
          </m:rPr>
          <w:rPr>
            <w:rFonts w:ascii="Cambria Math" w:hAnsi="Cambria Math"/>
            <w:sz w:val="20"/>
            <w:szCs w:val="20"/>
            <w:lang w:val="en-US" w:eastAsia="ko-KR"/>
          </w:rPr>
          <m:t>τ</m:t>
        </m:r>
      </m:oMath>
      <w:r w:rsidRPr="00CA1587">
        <w:rPr>
          <w:sz w:val="20"/>
          <w:szCs w:val="20"/>
          <w:lang w:val="en-US" w:eastAsia="ko-KR"/>
        </w:rPr>
        <w:t xml:space="preserve"> in NLOS can be </w:t>
      </w:r>
      <w:proofErr w:type="spellStart"/>
      <w:r w:rsidRPr="00CA1587">
        <w:rPr>
          <w:sz w:val="20"/>
          <w:szCs w:val="20"/>
        </w:rPr>
        <w:t>ignored</w:t>
      </w:r>
      <w:proofErr w:type="spellEnd"/>
      <w:r w:rsidRPr="00CA1587">
        <w:rPr>
          <w:sz w:val="20"/>
          <w:szCs w:val="20"/>
          <w:lang w:val="en-US" w:eastAsia="ko-KR"/>
        </w:rPr>
        <w:t xml:space="preserve"> for </w:t>
      </w:r>
      <w:proofErr w:type="spellStart"/>
      <w:r w:rsidRPr="00CA1587">
        <w:rPr>
          <w:sz w:val="20"/>
          <w:szCs w:val="20"/>
          <w:lang w:val="en-US" w:eastAsia="ko-KR"/>
        </w:rPr>
        <w:t>UMi</w:t>
      </w:r>
      <w:proofErr w:type="spellEnd"/>
      <w:r w:rsidRPr="00CA1587">
        <w:rPr>
          <w:sz w:val="20"/>
          <w:szCs w:val="20"/>
          <w:lang w:val="en-US" w:eastAsia="ko-KR"/>
        </w:rPr>
        <w:t xml:space="preserve">, </w:t>
      </w:r>
      <w:proofErr w:type="spellStart"/>
      <w:r w:rsidRPr="00CA1587">
        <w:rPr>
          <w:sz w:val="20"/>
          <w:szCs w:val="20"/>
          <w:lang w:val="en-US" w:eastAsia="ko-KR"/>
        </w:rPr>
        <w:t>UMa</w:t>
      </w:r>
      <w:proofErr w:type="spellEnd"/>
      <w:r w:rsidRPr="00CA1587">
        <w:rPr>
          <w:sz w:val="20"/>
          <w:szCs w:val="20"/>
          <w:lang w:val="en-US" w:eastAsia="ko-KR"/>
        </w:rPr>
        <w:t>, and IOO for the simplified models</w:t>
      </w:r>
      <w:r>
        <w:rPr>
          <w:sz w:val="20"/>
          <w:szCs w:val="20"/>
          <w:lang w:val="en-US" w:eastAsia="ko-KR"/>
        </w:rPr>
        <w:t xml:space="preserve"> or brought by individual companies (i.e., no agreed values).</w:t>
      </w:r>
    </w:p>
    <w:p w14:paraId="35740861" w14:textId="77777777" w:rsidR="00FF11B9" w:rsidRDefault="00FF11B9" w:rsidP="0086391E">
      <w:pPr>
        <w:rPr>
          <w:b/>
          <w:bCs/>
        </w:rPr>
      </w:pPr>
    </w:p>
    <w:p w14:paraId="51C44168" w14:textId="3F72471A" w:rsidR="00FF11B9" w:rsidRDefault="00FF11B9" w:rsidP="0086391E">
      <w:r w:rsidRPr="02E74DE5">
        <w:rPr>
          <w:b/>
          <w:bCs/>
        </w:rPr>
        <w:t xml:space="preserve">Proposal </w:t>
      </w:r>
      <w:r>
        <w:rPr>
          <w:b/>
          <w:bCs/>
        </w:rPr>
        <w:t>2</w:t>
      </w:r>
      <w:r>
        <w:t>: Do not define additional details for the optional UE antenna configuration of 4 UE panels.</w:t>
      </w:r>
    </w:p>
    <w:p w14:paraId="6D03B2F8" w14:textId="77777777" w:rsidR="00FF11B9" w:rsidRDefault="00FF11B9" w:rsidP="00FF11B9">
      <w:r w:rsidRPr="004C4BEF">
        <w:rPr>
          <w:b/>
          <w:bCs/>
        </w:rPr>
        <w:t xml:space="preserve">Proposal </w:t>
      </w:r>
      <w:r>
        <w:rPr>
          <w:b/>
          <w:bCs/>
        </w:rPr>
        <w:t>3</w:t>
      </w:r>
      <w:r w:rsidRPr="004C4BEF">
        <w:t xml:space="preserve">: Do not define the details of the optional mobility model.   </w:t>
      </w:r>
    </w:p>
    <w:p w14:paraId="44B43F4B" w14:textId="77777777" w:rsidR="00FF11B9" w:rsidRPr="004C4BEF" w:rsidRDefault="00FF11B9" w:rsidP="00FF11B9">
      <w:r w:rsidRPr="004C4BEF">
        <w:rPr>
          <w:rFonts w:eastAsia="Times New Roman" w:cs="ヒラギノ角ゴ Pro W3"/>
          <w:b/>
          <w:bCs/>
          <w:kern w:val="24"/>
          <w:lang w:val="en-US"/>
        </w:rPr>
        <w:t xml:space="preserve">Observation </w:t>
      </w:r>
      <w:r>
        <w:rPr>
          <w:rFonts w:eastAsia="Times New Roman" w:cs="ヒラギノ角ゴ Pro W3"/>
          <w:b/>
          <w:bCs/>
          <w:kern w:val="24"/>
          <w:lang w:val="en-US"/>
        </w:rPr>
        <w:t>1</w:t>
      </w:r>
      <w:r w:rsidRPr="004C4BEF">
        <w:rPr>
          <w:rFonts w:eastAsia="Times New Roman" w:cs="ヒラギノ角ゴ Pro W3"/>
          <w:b/>
          <w:bCs/>
          <w:kern w:val="24"/>
          <w:lang w:val="en-US"/>
        </w:rPr>
        <w:t>:</w:t>
      </w:r>
      <w:r>
        <w:rPr>
          <w:rFonts w:eastAsia="Times New Roman" w:cs="ヒラギノ角ゴ Pro W3"/>
          <w:kern w:val="24"/>
          <w:lang w:val="en-US"/>
        </w:rPr>
        <w:t xml:space="preserve"> We agree that timing error can be a matter to </w:t>
      </w:r>
      <w:proofErr w:type="spellStart"/>
      <w:r>
        <w:rPr>
          <w:rFonts w:eastAsia="Times New Roman" w:cs="ヒラギノ角ゴ Pro W3"/>
          <w:kern w:val="24"/>
          <w:lang w:val="en-US"/>
        </w:rPr>
        <w:t>ToA</w:t>
      </w:r>
      <w:proofErr w:type="spellEnd"/>
      <w:r>
        <w:rPr>
          <w:rFonts w:eastAsia="Times New Roman" w:cs="ヒラギノ角ゴ Pro W3"/>
          <w:kern w:val="24"/>
          <w:lang w:val="en-US"/>
        </w:rPr>
        <w:t xml:space="preserve"> measurement especially with multi antenna panel cases. However, a detailed simulation of how this error impacts Tx/Rx measurements may require detailed study of the problem to accurately model it. The overall impact on the performance can be quantified without detailed simulations. </w:t>
      </w:r>
      <w:r w:rsidRPr="004C4BEF">
        <w:t xml:space="preserve">  </w:t>
      </w:r>
    </w:p>
    <w:p w14:paraId="51ED046D" w14:textId="77777777" w:rsidR="00FF11B9" w:rsidRDefault="00FF11B9" w:rsidP="00FF11B9">
      <w:pPr>
        <w:overflowPunct/>
        <w:autoSpaceDE/>
        <w:autoSpaceDN/>
        <w:adjustRightInd/>
        <w:spacing w:after="0" w:line="252" w:lineRule="auto"/>
        <w:contextualSpacing/>
        <w:rPr>
          <w:rFonts w:eastAsia="Times New Roman" w:cs="ヒラギノ角ゴ Pro W3"/>
          <w:kern w:val="24"/>
          <w:lang w:val="en-US"/>
        </w:rPr>
      </w:pPr>
      <w:r w:rsidRPr="00CA1587">
        <w:rPr>
          <w:rFonts w:eastAsia="Times New Roman" w:cs="ヒラギノ角ゴ Pro W3"/>
          <w:b/>
          <w:bCs/>
          <w:kern w:val="24"/>
          <w:lang w:val="en-US"/>
        </w:rPr>
        <w:t xml:space="preserve">Observation </w:t>
      </w:r>
      <w:r>
        <w:rPr>
          <w:rFonts w:eastAsia="Times New Roman" w:cs="ヒラギノ角ゴ Pro W3"/>
          <w:b/>
          <w:bCs/>
          <w:kern w:val="24"/>
          <w:lang w:val="en-US"/>
        </w:rPr>
        <w:t>2</w:t>
      </w:r>
      <w:r>
        <w:rPr>
          <w:rFonts w:eastAsia="Times New Roman" w:cs="ヒラギノ角ゴ Pro W3"/>
          <w:kern w:val="24"/>
          <w:lang w:val="en-US"/>
        </w:rPr>
        <w:t xml:space="preserve">: RAN4 has also been discussing this issue and may better understand the appropriate modeling. </w:t>
      </w:r>
    </w:p>
    <w:p w14:paraId="1434B298" w14:textId="77777777" w:rsidR="00FF11B9" w:rsidRDefault="00FF11B9" w:rsidP="00FF11B9">
      <w:pPr>
        <w:overflowPunct/>
        <w:autoSpaceDE/>
        <w:autoSpaceDN/>
        <w:adjustRightInd/>
        <w:spacing w:after="0"/>
        <w:contextualSpacing/>
        <w:rPr>
          <w:rFonts w:eastAsia="Times New Roman" w:cs="ヒラギノ角ゴ Pro W3"/>
          <w:b/>
          <w:bCs/>
          <w:color w:val="000000" w:themeColor="text1"/>
          <w:kern w:val="24"/>
        </w:rPr>
      </w:pPr>
    </w:p>
    <w:p w14:paraId="2A58B095" w14:textId="19FE9F95" w:rsidR="00FF11B9" w:rsidRPr="00CA1587" w:rsidRDefault="00FF11B9" w:rsidP="00FF11B9">
      <w:pPr>
        <w:overflowPunct/>
        <w:autoSpaceDE/>
        <w:autoSpaceDN/>
        <w:adjustRightInd/>
        <w:spacing w:after="0"/>
        <w:contextualSpacing/>
        <w:rPr>
          <w:rFonts w:eastAsia="Times New Roman" w:cs="ヒラギノ角ゴ Pro W3"/>
          <w:color w:val="000000" w:themeColor="text1"/>
          <w:kern w:val="24"/>
        </w:rPr>
      </w:pPr>
      <w:r w:rsidRPr="00CA1587">
        <w:rPr>
          <w:rFonts w:eastAsia="Times New Roman" w:cs="ヒラギノ角ゴ Pro W3"/>
          <w:b/>
          <w:bCs/>
          <w:color w:val="000000" w:themeColor="text1"/>
          <w:kern w:val="24"/>
        </w:rPr>
        <w:t xml:space="preserve">Proposal </w:t>
      </w:r>
      <w:r>
        <w:rPr>
          <w:rFonts w:eastAsia="Times New Roman" w:cs="ヒラギノ角ゴ Pro W3"/>
          <w:b/>
          <w:bCs/>
          <w:color w:val="000000" w:themeColor="text1"/>
          <w:kern w:val="24"/>
        </w:rPr>
        <w:t>4</w:t>
      </w:r>
      <w:r w:rsidRPr="00CA1587">
        <w:rPr>
          <w:rFonts w:eastAsia="Times New Roman" w:cs="ヒラギノ角ゴ Pro W3"/>
          <w:b/>
          <w:bCs/>
          <w:color w:val="000000" w:themeColor="text1"/>
          <w:kern w:val="24"/>
        </w:rPr>
        <w:t>:</w:t>
      </w:r>
      <w:r w:rsidRPr="00CA1587">
        <w:rPr>
          <w:rFonts w:eastAsia="Times New Roman" w:cs="ヒラギノ角ゴ Pro W3"/>
          <w:color w:val="000000" w:themeColor="text1"/>
          <w:kern w:val="24"/>
        </w:rPr>
        <w:t xml:space="preserve"> </w:t>
      </w:r>
      <w:r w:rsidRPr="00CA1587">
        <w:rPr>
          <w:rFonts w:eastAsia="Times New Roman" w:cs="ヒラギノ角ゴ Pro W3"/>
          <w:color w:val="000000" w:themeColor="text1"/>
          <w:kern w:val="24"/>
          <w:lang w:val="en-US"/>
        </w:rPr>
        <w:t xml:space="preserve">RAN1 may define </w:t>
      </w:r>
      <w:r w:rsidR="00A87FCC">
        <w:rPr>
          <w:rFonts w:eastAsia="Times New Roman" w:cs="ヒラギノ角ゴ Pro W3"/>
          <w:color w:val="000000" w:themeColor="text1"/>
          <w:kern w:val="24"/>
          <w:lang w:val="en-US"/>
        </w:rPr>
        <w:t xml:space="preserve">the </w:t>
      </w:r>
      <w:r w:rsidRPr="00CA1587">
        <w:rPr>
          <w:rFonts w:eastAsia="Times New Roman" w:cs="ヒラギノ角ゴ Pro W3"/>
          <w:color w:val="000000" w:themeColor="text1"/>
          <w:kern w:val="24"/>
          <w:lang w:val="en-US"/>
        </w:rPr>
        <w:t xml:space="preserve">latency study scope, and </w:t>
      </w:r>
      <w:r>
        <w:rPr>
          <w:rFonts w:cs="Calibri"/>
          <w:color w:val="000000" w:themeColor="text1"/>
          <w:kern w:val="24"/>
        </w:rPr>
        <w:t>i</w:t>
      </w:r>
      <w:r w:rsidRPr="00CA1587">
        <w:rPr>
          <w:rFonts w:cs="Calibri"/>
          <w:color w:val="000000" w:themeColor="text1"/>
          <w:kern w:val="24"/>
        </w:rPr>
        <w:t>nterested companies can study the latency performance</w:t>
      </w:r>
    </w:p>
    <w:p w14:paraId="277B102F" w14:textId="10206F4D" w:rsidR="00FF11B9" w:rsidRPr="00CA1587" w:rsidRDefault="00FF11B9" w:rsidP="00FF11B9">
      <w:pPr>
        <w:pStyle w:val="ListParagraph"/>
        <w:numPr>
          <w:ilvl w:val="0"/>
          <w:numId w:val="45"/>
        </w:numPr>
        <w:rPr>
          <w:rFonts w:eastAsia="Times New Roman" w:cs="ヒラギノ角ゴ Pro W3"/>
          <w:color w:val="000000" w:themeColor="text1"/>
          <w:kern w:val="24"/>
          <w:sz w:val="20"/>
          <w:szCs w:val="20"/>
          <w:lang w:val="en-US"/>
        </w:rPr>
      </w:pPr>
      <w:r w:rsidRPr="00CA1587">
        <w:rPr>
          <w:rFonts w:cs="Calibri"/>
          <w:color w:val="000000" w:themeColor="text1"/>
          <w:kern w:val="24"/>
          <w:sz w:val="20"/>
          <w:szCs w:val="20"/>
        </w:rPr>
        <w:t xml:space="preserve">As </w:t>
      </w:r>
      <w:r w:rsidR="00A87FCC">
        <w:rPr>
          <w:rFonts w:cs="Calibri"/>
          <w:color w:val="000000" w:themeColor="text1"/>
          <w:kern w:val="24"/>
          <w:sz w:val="20"/>
          <w:szCs w:val="20"/>
        </w:rPr>
        <w:t xml:space="preserve">a </w:t>
      </w:r>
      <w:proofErr w:type="spellStart"/>
      <w:r w:rsidRPr="00CA1587">
        <w:rPr>
          <w:rFonts w:cs="Calibri"/>
          <w:color w:val="000000" w:themeColor="text1"/>
          <w:kern w:val="24"/>
          <w:sz w:val="20"/>
          <w:szCs w:val="20"/>
        </w:rPr>
        <w:t>baseline</w:t>
      </w:r>
      <w:proofErr w:type="spellEnd"/>
      <w:r w:rsidRPr="00CA1587">
        <w:rPr>
          <w:rFonts w:cs="Calibri"/>
          <w:color w:val="000000" w:themeColor="text1"/>
          <w:kern w:val="24"/>
          <w:sz w:val="20"/>
          <w:szCs w:val="20"/>
        </w:rPr>
        <w:t xml:space="preserve">, </w:t>
      </w:r>
      <w:proofErr w:type="spellStart"/>
      <w:r w:rsidR="00A87FCC">
        <w:rPr>
          <w:rFonts w:cs="Calibri"/>
          <w:color w:val="000000" w:themeColor="text1"/>
          <w:kern w:val="24"/>
          <w:sz w:val="20"/>
          <w:szCs w:val="20"/>
        </w:rPr>
        <w:t>the</w:t>
      </w:r>
      <w:proofErr w:type="spellEnd"/>
      <w:r w:rsidR="00A87FCC">
        <w:rPr>
          <w:rFonts w:cs="Calibri"/>
          <w:color w:val="000000" w:themeColor="text1"/>
          <w:kern w:val="24"/>
          <w:sz w:val="20"/>
          <w:szCs w:val="20"/>
        </w:rPr>
        <w:t xml:space="preserve"> </w:t>
      </w:r>
      <w:proofErr w:type="spellStart"/>
      <w:r w:rsidRPr="00CA1587">
        <w:rPr>
          <w:rFonts w:cs="Calibri"/>
          <w:color w:val="000000" w:themeColor="text1"/>
          <w:kern w:val="24"/>
          <w:sz w:val="20"/>
          <w:szCs w:val="20"/>
        </w:rPr>
        <w:t>latency</w:t>
      </w:r>
      <w:proofErr w:type="spellEnd"/>
      <w:r w:rsidRPr="00CA1587">
        <w:rPr>
          <w:rFonts w:cs="Calibri"/>
          <w:color w:val="000000" w:themeColor="text1"/>
          <w:kern w:val="24"/>
          <w:sz w:val="20"/>
          <w:szCs w:val="20"/>
        </w:rPr>
        <w:t xml:space="preserve"> of </w:t>
      </w:r>
      <w:r w:rsidRPr="00CA1587">
        <w:rPr>
          <w:rFonts w:eastAsia="Times New Roman" w:cs="ヒラギノ角ゴ Pro W3"/>
          <w:color w:val="000000" w:themeColor="text1"/>
          <w:kern w:val="24"/>
          <w:sz w:val="20"/>
          <w:szCs w:val="20"/>
          <w:lang w:val="en-US"/>
        </w:rPr>
        <w:t xml:space="preserve">PRS transmission period and transmission occasions (i.e. </w:t>
      </w:r>
      <m:oMath>
        <m:sSub>
          <m:sSubPr>
            <m:ctrlPr>
              <w:rPr>
                <w:rFonts w:ascii="Cambria Math" w:eastAsia="Times New Roman" w:hAnsi="Cambria Math" w:cs="ヒラギノ角ゴ Pro W3"/>
                <w:color w:val="000000" w:themeColor="text1"/>
                <w:kern w:val="24"/>
                <w:sz w:val="20"/>
                <w:szCs w:val="20"/>
                <w:lang w:val="en-US"/>
              </w:rPr>
            </m:ctrlPr>
          </m:sSubPr>
          <m:e>
            <m:r>
              <m:rPr>
                <m:sty m:val="p"/>
              </m:rPr>
              <w:rPr>
                <w:rFonts w:ascii="Cambria Math" w:eastAsia="Times New Roman" w:hAnsi="Cambria Math" w:cs="ヒラギノ角ゴ Pro W3"/>
                <w:color w:val="000000" w:themeColor="text1"/>
                <w:kern w:val="24"/>
                <w:sz w:val="20"/>
                <w:szCs w:val="20"/>
                <w:lang w:val="en-US"/>
              </w:rPr>
              <m:t>T</m:t>
            </m:r>
          </m:e>
          <m:sub>
            <m:r>
              <w:rPr>
                <w:rFonts w:ascii="Cambria Math" w:eastAsia="Times New Roman" w:hAnsi="Cambria Math" w:cs="ヒラギノ角ゴ Pro W3"/>
                <w:color w:val="000000" w:themeColor="text1"/>
                <w:kern w:val="24"/>
                <w:sz w:val="20"/>
                <w:szCs w:val="20"/>
                <w:lang w:val="en-US"/>
              </w:rPr>
              <m:t>PRS</m:t>
            </m:r>
          </m:sub>
        </m:sSub>
        <m:r>
          <w:rPr>
            <w:rFonts w:ascii="Cambria Math" w:eastAsia="Times New Roman" w:hAnsi="Cambria Math" w:cs="ヒラギノ角ゴ Pro W3"/>
            <w:color w:val="000000" w:themeColor="text1"/>
            <w:kern w:val="24"/>
            <w:sz w:val="20"/>
            <w:szCs w:val="20"/>
            <w:lang w:val="en-US"/>
          </w:rPr>
          <m:t xml:space="preserve"> ×N</m:t>
        </m:r>
      </m:oMath>
      <w:r w:rsidRPr="00CA1587">
        <w:rPr>
          <w:rFonts w:eastAsia="Times New Roman" w:cs="ヒラギノ角ゴ Pro W3"/>
          <w:color w:val="000000" w:themeColor="text1"/>
          <w:kern w:val="24"/>
          <w:sz w:val="20"/>
          <w:szCs w:val="20"/>
          <w:lang w:val="en-US"/>
        </w:rPr>
        <w:t xml:space="preserve"> , </w:t>
      </w:r>
      <m:oMath>
        <m:r>
          <w:rPr>
            <w:rFonts w:ascii="Cambria Math" w:eastAsia="Times New Roman" w:hAnsi="Cambria Math" w:cs="ヒラギノ角ゴ Pro W3"/>
            <w:color w:val="000000" w:themeColor="text1"/>
            <w:kern w:val="24"/>
            <w:sz w:val="20"/>
            <w:szCs w:val="20"/>
            <w:lang w:val="en-US"/>
          </w:rPr>
          <m:t>N≥1</m:t>
        </m:r>
      </m:oMath>
      <w:r w:rsidRPr="00CA1587">
        <w:rPr>
          <w:rFonts w:eastAsia="Times New Roman" w:cs="ヒラギノ角ゴ Pro W3"/>
          <w:color w:val="000000" w:themeColor="text1"/>
          <w:kern w:val="24"/>
          <w:sz w:val="20"/>
          <w:szCs w:val="20"/>
          <w:lang w:val="en-US"/>
        </w:rPr>
        <w:t>) for one UE’s measurement report to achieve the accuracy requirement</w:t>
      </w:r>
      <w:r w:rsidR="00A87FCC">
        <w:rPr>
          <w:rFonts w:eastAsia="Times New Roman" w:cs="ヒラギノ角ゴ Pro W3"/>
          <w:color w:val="000000" w:themeColor="text1"/>
          <w:kern w:val="24"/>
          <w:sz w:val="20"/>
          <w:szCs w:val="20"/>
          <w:lang w:val="en-US"/>
        </w:rPr>
        <w:t xml:space="preserve"> can be used</w:t>
      </w:r>
      <w:r w:rsidRPr="00CA1587">
        <w:rPr>
          <w:rFonts w:eastAsia="Times New Roman" w:cs="ヒラギノ角ゴ Pro W3"/>
          <w:color w:val="000000" w:themeColor="text1"/>
          <w:kern w:val="24"/>
          <w:sz w:val="20"/>
          <w:szCs w:val="20"/>
          <w:lang w:val="en-US"/>
        </w:rPr>
        <w:t xml:space="preserve">. </w:t>
      </w:r>
    </w:p>
    <w:p w14:paraId="37289C90" w14:textId="58FB3FEA" w:rsidR="00FF11B9" w:rsidRPr="00CA1587" w:rsidRDefault="00FF11B9" w:rsidP="00FF11B9">
      <w:pPr>
        <w:pStyle w:val="ListParagraph"/>
        <w:numPr>
          <w:ilvl w:val="0"/>
          <w:numId w:val="45"/>
        </w:numPr>
        <w:rPr>
          <w:rFonts w:eastAsia="Times New Roman" w:cs="ヒラギノ角ゴ Pro W3"/>
          <w:color w:val="000000" w:themeColor="text1"/>
          <w:kern w:val="24"/>
          <w:sz w:val="20"/>
          <w:szCs w:val="20"/>
          <w:lang w:val="en-GB"/>
        </w:rPr>
      </w:pPr>
      <w:r>
        <w:rPr>
          <w:rFonts w:cs="Calibri"/>
          <w:color w:val="000000" w:themeColor="text1"/>
          <w:kern w:val="24"/>
          <w:sz w:val="20"/>
          <w:szCs w:val="20"/>
          <w:lang w:val="en-US"/>
        </w:rPr>
        <w:lastRenderedPageBreak/>
        <w:t>L</w:t>
      </w:r>
      <w:r w:rsidRPr="00CA1587">
        <w:rPr>
          <w:rFonts w:cs="Calibri"/>
          <w:color w:val="000000" w:themeColor="text1"/>
          <w:kern w:val="24"/>
          <w:sz w:val="20"/>
          <w:szCs w:val="20"/>
          <w:lang w:val="en-US"/>
        </w:rPr>
        <w:t xml:space="preserve">atency of LMF averaging </w:t>
      </w:r>
      <w:r>
        <w:rPr>
          <w:rFonts w:cs="Calibri"/>
          <w:color w:val="000000" w:themeColor="text1"/>
          <w:kern w:val="24"/>
          <w:sz w:val="20"/>
          <w:szCs w:val="20"/>
          <w:lang w:val="en-US"/>
        </w:rPr>
        <w:t xml:space="preserve">can be considered </w:t>
      </w:r>
      <w:r w:rsidRPr="00CA1587">
        <w:rPr>
          <w:rFonts w:eastAsia="Times New Roman" w:cs="ヒラギノ角ゴ Pro W3"/>
          <w:color w:val="000000" w:themeColor="text1"/>
          <w:kern w:val="24"/>
          <w:sz w:val="20"/>
          <w:szCs w:val="20"/>
          <w:lang w:val="en-US"/>
        </w:rPr>
        <w:t xml:space="preserve">to achieve the accuracy requirement </w:t>
      </w:r>
      <w:r w:rsidRPr="00CA1587">
        <w:rPr>
          <w:rFonts w:cs="Calibri"/>
          <w:color w:val="000000" w:themeColor="text1"/>
          <w:kern w:val="24"/>
          <w:sz w:val="20"/>
          <w:szCs w:val="20"/>
          <w:lang w:val="en-US"/>
        </w:rPr>
        <w:t xml:space="preserve">over multiple UE measurement report occasions. </w:t>
      </w:r>
      <w:r w:rsidRPr="00CA1587">
        <w:rPr>
          <w:rFonts w:eastAsia="Times New Roman" w:cs="ヒラギノ角ゴ Pro W3"/>
          <w:color w:val="000000" w:themeColor="text1"/>
          <w:kern w:val="24"/>
          <w:sz w:val="20"/>
          <w:szCs w:val="20"/>
          <w:lang w:val="en-US"/>
        </w:rPr>
        <w:t xml:space="preserve">(i.e. </w:t>
      </w:r>
      <m:oMath>
        <m:sSub>
          <m:sSubPr>
            <m:ctrlPr>
              <w:rPr>
                <w:rFonts w:ascii="Cambria Math" w:eastAsia="Times New Roman" w:hAnsi="Cambria Math" w:cs="ヒラギノ角ゴ Pro W3"/>
                <w:color w:val="000000" w:themeColor="text1"/>
                <w:kern w:val="24"/>
                <w:sz w:val="20"/>
                <w:szCs w:val="20"/>
                <w:lang w:val="en-US"/>
              </w:rPr>
            </m:ctrlPr>
          </m:sSubPr>
          <m:e>
            <m:r>
              <m:rPr>
                <m:sty m:val="p"/>
              </m:rPr>
              <w:rPr>
                <w:rFonts w:ascii="Cambria Math" w:eastAsia="Times New Roman" w:hAnsi="Cambria Math" w:cs="ヒラギノ角ゴ Pro W3"/>
                <w:color w:val="000000" w:themeColor="text1"/>
                <w:kern w:val="24"/>
                <w:sz w:val="20"/>
                <w:szCs w:val="20"/>
                <w:lang w:val="en-US"/>
              </w:rPr>
              <m:t>T</m:t>
            </m:r>
          </m:e>
          <m:sub>
            <m:r>
              <w:rPr>
                <w:rFonts w:ascii="Cambria Math" w:eastAsia="Times New Roman" w:hAnsi="Cambria Math" w:cs="ヒラギノ角ゴ Pro W3"/>
                <w:color w:val="000000" w:themeColor="text1"/>
                <w:kern w:val="24"/>
                <w:sz w:val="20"/>
                <w:szCs w:val="20"/>
                <w:lang w:val="en-US"/>
              </w:rPr>
              <m:t>Report</m:t>
            </m:r>
          </m:sub>
        </m:sSub>
        <m:r>
          <w:rPr>
            <w:rFonts w:ascii="Cambria Math" w:eastAsia="Times New Roman" w:hAnsi="Cambria Math" w:cs="ヒラギノ角ゴ Pro W3"/>
            <w:color w:val="000000" w:themeColor="text1"/>
            <w:kern w:val="24"/>
            <w:sz w:val="20"/>
            <w:szCs w:val="20"/>
            <w:lang w:val="en-US"/>
          </w:rPr>
          <m:t xml:space="preserve"> ×N</m:t>
        </m:r>
      </m:oMath>
      <w:r w:rsidRPr="00CA1587">
        <w:rPr>
          <w:rFonts w:eastAsia="Times New Roman" w:cs="ヒラギノ角ゴ Pro W3"/>
          <w:color w:val="000000" w:themeColor="text1"/>
          <w:kern w:val="24"/>
          <w:sz w:val="20"/>
          <w:szCs w:val="20"/>
          <w:lang w:val="en-US"/>
        </w:rPr>
        <w:t xml:space="preserve"> , </w:t>
      </w:r>
      <m:oMath>
        <m:r>
          <w:rPr>
            <w:rFonts w:ascii="Cambria Math" w:eastAsia="Times New Roman" w:hAnsi="Cambria Math" w:cs="ヒラギノ角ゴ Pro W3"/>
            <w:color w:val="000000" w:themeColor="text1"/>
            <w:kern w:val="24"/>
            <w:sz w:val="20"/>
            <w:szCs w:val="20"/>
            <w:lang w:val="en-US"/>
          </w:rPr>
          <m:t>N≥1</m:t>
        </m:r>
      </m:oMath>
      <w:r w:rsidRPr="00CA1587">
        <w:rPr>
          <w:rFonts w:eastAsia="Times New Roman" w:cs="ヒラギノ角ゴ Pro W3"/>
          <w:color w:val="000000" w:themeColor="text1"/>
          <w:kern w:val="24"/>
          <w:sz w:val="20"/>
          <w:szCs w:val="20"/>
          <w:lang w:val="en-US"/>
        </w:rPr>
        <w:t>)</w:t>
      </w:r>
      <w:r w:rsidR="00A87FCC">
        <w:rPr>
          <w:rFonts w:eastAsia="Times New Roman" w:cs="ヒラギノ角ゴ Pro W3"/>
          <w:color w:val="000000" w:themeColor="text1"/>
          <w:kern w:val="24"/>
          <w:sz w:val="20"/>
          <w:szCs w:val="20"/>
          <w:lang w:val="en-US"/>
        </w:rPr>
        <w:t>.</w:t>
      </w:r>
    </w:p>
    <w:p w14:paraId="2C0B10B6" w14:textId="77777777" w:rsidR="00FF11B9" w:rsidRPr="00CA1587" w:rsidRDefault="00FF11B9" w:rsidP="00FF11B9">
      <w:pPr>
        <w:pStyle w:val="ListParagraph"/>
        <w:numPr>
          <w:ilvl w:val="0"/>
          <w:numId w:val="45"/>
        </w:numPr>
        <w:rPr>
          <w:rFonts w:eastAsia="Times New Roman" w:cs="ヒラギノ角ゴ Pro W3"/>
          <w:color w:val="000000" w:themeColor="text1"/>
          <w:kern w:val="24"/>
          <w:sz w:val="20"/>
          <w:szCs w:val="20"/>
          <w:lang w:val="en-GB"/>
        </w:rPr>
      </w:pPr>
      <w:r>
        <w:rPr>
          <w:rFonts w:cs="Calibri"/>
          <w:color w:val="000000" w:themeColor="text1"/>
          <w:kern w:val="24"/>
          <w:sz w:val="20"/>
          <w:szCs w:val="20"/>
          <w:lang w:val="en-US"/>
        </w:rPr>
        <w:t xml:space="preserve">The time for UE to report the measurements can be considered as well. </w:t>
      </w:r>
    </w:p>
    <w:p w14:paraId="1E1E88CA" w14:textId="3F8CEC23" w:rsidR="00FF11B9" w:rsidRDefault="00FF11B9" w:rsidP="0086391E"/>
    <w:p w14:paraId="1C4BC246" w14:textId="5E9F131D" w:rsidR="00FF11B9" w:rsidRPr="00D81414" w:rsidRDefault="00FF11B9" w:rsidP="0086391E">
      <w:r w:rsidRPr="00CA1587">
        <w:rPr>
          <w:b/>
          <w:bCs/>
        </w:rPr>
        <w:t xml:space="preserve">Proposal </w:t>
      </w:r>
      <w:r>
        <w:rPr>
          <w:b/>
          <w:bCs/>
        </w:rPr>
        <w:t>5</w:t>
      </w:r>
      <w:r w:rsidRPr="004C4BEF">
        <w:t xml:space="preserve">: </w:t>
      </w:r>
      <w:r>
        <w:t xml:space="preserve">Interested companies can study </w:t>
      </w:r>
      <w:r w:rsidR="00FE7CAA">
        <w:t xml:space="preserve">positioning </w:t>
      </w:r>
      <w:r>
        <w:t xml:space="preserve">performance accuracy over resource allocation/configuration (e.g., comb size, number of symbols, etc) and PRS transmission occasions as PRS/SRS resource utilization. </w:t>
      </w:r>
    </w:p>
    <w:p w14:paraId="1469B217" w14:textId="77777777" w:rsidR="0086391E" w:rsidRPr="00E2789D" w:rsidRDefault="0086391E" w:rsidP="0086391E">
      <w:pPr>
        <w:pStyle w:val="Heading1"/>
        <w:numPr>
          <w:ilvl w:val="0"/>
          <w:numId w:val="0"/>
        </w:numPr>
        <w:rPr>
          <w:color w:val="000000" w:themeColor="text1"/>
        </w:rPr>
      </w:pPr>
      <w:r w:rsidRPr="00D81414">
        <w:rPr>
          <w:color w:val="000000" w:themeColor="text1"/>
        </w:rPr>
        <w:t>References</w:t>
      </w:r>
    </w:p>
    <w:p w14:paraId="35E1C74A" w14:textId="77777777" w:rsidR="0086391E" w:rsidRDefault="0086391E" w:rsidP="0086391E">
      <w:pPr>
        <w:spacing w:line="259" w:lineRule="auto"/>
        <w:rPr>
          <w:color w:val="000000" w:themeColor="text1"/>
          <w:lang w:val="en-US"/>
        </w:rPr>
      </w:pPr>
      <w:r>
        <w:rPr>
          <w:color w:val="000000" w:themeColor="text1"/>
          <w:lang w:val="en-US"/>
        </w:rPr>
        <w:t xml:space="preserve">[1] RP-193237, New SID on NR Positioning Enhancements, Qualcomm. </w:t>
      </w:r>
    </w:p>
    <w:p w14:paraId="31A73ECC" w14:textId="393F1EFB" w:rsidR="0086391E" w:rsidRDefault="0086391E" w:rsidP="0086391E">
      <w:pPr>
        <w:spacing w:line="259" w:lineRule="auto"/>
        <w:rPr>
          <w:color w:val="000000" w:themeColor="text1"/>
          <w:lang w:val="en-US"/>
        </w:rPr>
      </w:pPr>
      <w:r>
        <w:rPr>
          <w:color w:val="000000" w:themeColor="text1"/>
          <w:lang w:val="en-US"/>
        </w:rPr>
        <w:t>[2] R1-20</w:t>
      </w:r>
      <w:r w:rsidRPr="00CA1587">
        <w:rPr>
          <w:color w:val="000000" w:themeColor="text1"/>
          <w:lang w:val="en-US"/>
        </w:rPr>
        <w:t>0</w:t>
      </w:r>
      <w:r w:rsidR="00FB1594" w:rsidRPr="00CA1587">
        <w:rPr>
          <w:color w:val="000000" w:themeColor="text1"/>
          <w:lang w:val="en-US"/>
        </w:rPr>
        <w:t>6428</w:t>
      </w:r>
      <w:r w:rsidR="00FB1594">
        <w:rPr>
          <w:color w:val="000000" w:themeColor="text1"/>
          <w:lang w:val="en-US"/>
        </w:rPr>
        <w:t>, Initial results on evaluation of achievable positioning accuracy and latency, Nokia, Nokia Shanghai Bell</w:t>
      </w:r>
    </w:p>
    <w:p w14:paraId="009D9BA7" w14:textId="7CF0852E" w:rsidR="00FB1594" w:rsidRDefault="00FB1594" w:rsidP="0086391E">
      <w:pPr>
        <w:spacing w:line="259" w:lineRule="auto"/>
        <w:rPr>
          <w:color w:val="000000" w:themeColor="text1"/>
          <w:lang w:val="en-US"/>
        </w:rPr>
      </w:pPr>
      <w:r>
        <w:rPr>
          <w:color w:val="000000" w:themeColor="text1"/>
          <w:lang w:val="en-US"/>
        </w:rPr>
        <w:t>[3] R1-2006429, Views on potential positioning enhancements,</w:t>
      </w:r>
      <w:r w:rsidRPr="00FB1594">
        <w:rPr>
          <w:color w:val="000000" w:themeColor="text1"/>
          <w:lang w:val="en-US"/>
        </w:rPr>
        <w:t xml:space="preserve"> </w:t>
      </w:r>
      <w:r>
        <w:rPr>
          <w:color w:val="000000" w:themeColor="text1"/>
          <w:lang w:val="en-US"/>
        </w:rPr>
        <w:t>Nokia, Nokia Shanghai Bell</w:t>
      </w:r>
    </w:p>
    <w:p w14:paraId="101F53EB" w14:textId="52ECD87E" w:rsidR="00967C67" w:rsidRPr="0086391E" w:rsidRDefault="00967C67" w:rsidP="0086391E">
      <w:pPr>
        <w:rPr>
          <w:lang w:val="en-US"/>
        </w:rPr>
      </w:pPr>
    </w:p>
    <w:sectPr w:rsidR="00967C67" w:rsidRPr="0086391E"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A6732D4"/>
    <w:multiLevelType w:val="hybridMultilevel"/>
    <w:tmpl w:val="7BE47CEE"/>
    <w:lvl w:ilvl="0" w:tplc="1EC6FE70">
      <w:start w:val="1"/>
      <w:numFmt w:val="bullet"/>
      <w:lvlText w:val=""/>
      <w:lvlJc w:val="left"/>
      <w:pPr>
        <w:tabs>
          <w:tab w:val="num" w:pos="720"/>
        </w:tabs>
        <w:ind w:left="720" w:hanging="360"/>
      </w:pPr>
      <w:rPr>
        <w:rFonts w:ascii="Symbol" w:hAnsi="Symbol" w:hint="default"/>
      </w:rPr>
    </w:lvl>
    <w:lvl w:ilvl="1" w:tplc="BB148D80">
      <w:start w:val="57"/>
      <w:numFmt w:val="bullet"/>
      <w:lvlText w:val="o"/>
      <w:lvlJc w:val="left"/>
      <w:pPr>
        <w:tabs>
          <w:tab w:val="num" w:pos="1440"/>
        </w:tabs>
        <w:ind w:left="1440" w:hanging="360"/>
      </w:pPr>
      <w:rPr>
        <w:rFonts w:ascii="Courier New" w:hAnsi="Courier New" w:hint="default"/>
      </w:rPr>
    </w:lvl>
    <w:lvl w:ilvl="2" w:tplc="DD188840">
      <w:start w:val="57"/>
      <w:numFmt w:val="bullet"/>
      <w:lvlText w:val=""/>
      <w:lvlJc w:val="left"/>
      <w:pPr>
        <w:tabs>
          <w:tab w:val="num" w:pos="2160"/>
        </w:tabs>
        <w:ind w:left="2160" w:hanging="360"/>
      </w:pPr>
      <w:rPr>
        <w:rFonts w:ascii="Wingdings" w:hAnsi="Wingdings" w:hint="default"/>
      </w:rPr>
    </w:lvl>
    <w:lvl w:ilvl="3" w:tplc="5F244E16" w:tentative="1">
      <w:start w:val="1"/>
      <w:numFmt w:val="bullet"/>
      <w:lvlText w:val=""/>
      <w:lvlJc w:val="left"/>
      <w:pPr>
        <w:tabs>
          <w:tab w:val="num" w:pos="2880"/>
        </w:tabs>
        <w:ind w:left="2880" w:hanging="360"/>
      </w:pPr>
      <w:rPr>
        <w:rFonts w:ascii="Symbol" w:hAnsi="Symbol" w:hint="default"/>
      </w:rPr>
    </w:lvl>
    <w:lvl w:ilvl="4" w:tplc="F98C3A2C" w:tentative="1">
      <w:start w:val="1"/>
      <w:numFmt w:val="bullet"/>
      <w:lvlText w:val=""/>
      <w:lvlJc w:val="left"/>
      <w:pPr>
        <w:tabs>
          <w:tab w:val="num" w:pos="3600"/>
        </w:tabs>
        <w:ind w:left="3600" w:hanging="360"/>
      </w:pPr>
      <w:rPr>
        <w:rFonts w:ascii="Symbol" w:hAnsi="Symbol" w:hint="default"/>
      </w:rPr>
    </w:lvl>
    <w:lvl w:ilvl="5" w:tplc="0B923510" w:tentative="1">
      <w:start w:val="1"/>
      <w:numFmt w:val="bullet"/>
      <w:lvlText w:val=""/>
      <w:lvlJc w:val="left"/>
      <w:pPr>
        <w:tabs>
          <w:tab w:val="num" w:pos="4320"/>
        </w:tabs>
        <w:ind w:left="4320" w:hanging="360"/>
      </w:pPr>
      <w:rPr>
        <w:rFonts w:ascii="Symbol" w:hAnsi="Symbol" w:hint="default"/>
      </w:rPr>
    </w:lvl>
    <w:lvl w:ilvl="6" w:tplc="055E3734" w:tentative="1">
      <w:start w:val="1"/>
      <w:numFmt w:val="bullet"/>
      <w:lvlText w:val=""/>
      <w:lvlJc w:val="left"/>
      <w:pPr>
        <w:tabs>
          <w:tab w:val="num" w:pos="5040"/>
        </w:tabs>
        <w:ind w:left="5040" w:hanging="360"/>
      </w:pPr>
      <w:rPr>
        <w:rFonts w:ascii="Symbol" w:hAnsi="Symbol" w:hint="default"/>
      </w:rPr>
    </w:lvl>
    <w:lvl w:ilvl="7" w:tplc="4E7A179E" w:tentative="1">
      <w:start w:val="1"/>
      <w:numFmt w:val="bullet"/>
      <w:lvlText w:val=""/>
      <w:lvlJc w:val="left"/>
      <w:pPr>
        <w:tabs>
          <w:tab w:val="num" w:pos="5760"/>
        </w:tabs>
        <w:ind w:left="5760" w:hanging="360"/>
      </w:pPr>
      <w:rPr>
        <w:rFonts w:ascii="Symbol" w:hAnsi="Symbol" w:hint="default"/>
      </w:rPr>
    </w:lvl>
    <w:lvl w:ilvl="8" w:tplc="48AC3F4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885362"/>
    <w:multiLevelType w:val="multilevel"/>
    <w:tmpl w:val="6194D3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FF64EC"/>
    <w:multiLevelType w:val="hybridMultilevel"/>
    <w:tmpl w:val="DEEC9BCC"/>
    <w:lvl w:ilvl="0" w:tplc="47107C80">
      <w:start w:val="1"/>
      <w:numFmt w:val="bullet"/>
      <w:lvlText w:val=""/>
      <w:lvlJc w:val="left"/>
      <w:pPr>
        <w:tabs>
          <w:tab w:val="num" w:pos="720"/>
        </w:tabs>
        <w:ind w:left="720" w:hanging="360"/>
      </w:pPr>
      <w:rPr>
        <w:rFonts w:ascii="Symbol" w:hAnsi="Symbol" w:hint="default"/>
      </w:rPr>
    </w:lvl>
    <w:lvl w:ilvl="1" w:tplc="B6184CAC" w:tentative="1">
      <w:start w:val="1"/>
      <w:numFmt w:val="bullet"/>
      <w:lvlText w:val=""/>
      <w:lvlJc w:val="left"/>
      <w:pPr>
        <w:tabs>
          <w:tab w:val="num" w:pos="1440"/>
        </w:tabs>
        <w:ind w:left="1440" w:hanging="360"/>
      </w:pPr>
      <w:rPr>
        <w:rFonts w:ascii="Symbol" w:hAnsi="Symbol" w:hint="default"/>
      </w:rPr>
    </w:lvl>
    <w:lvl w:ilvl="2" w:tplc="E3A01F26" w:tentative="1">
      <w:start w:val="1"/>
      <w:numFmt w:val="bullet"/>
      <w:lvlText w:val=""/>
      <w:lvlJc w:val="left"/>
      <w:pPr>
        <w:tabs>
          <w:tab w:val="num" w:pos="2160"/>
        </w:tabs>
        <w:ind w:left="2160" w:hanging="360"/>
      </w:pPr>
      <w:rPr>
        <w:rFonts w:ascii="Symbol" w:hAnsi="Symbol" w:hint="default"/>
      </w:rPr>
    </w:lvl>
    <w:lvl w:ilvl="3" w:tplc="62EA2A04" w:tentative="1">
      <w:start w:val="1"/>
      <w:numFmt w:val="bullet"/>
      <w:lvlText w:val=""/>
      <w:lvlJc w:val="left"/>
      <w:pPr>
        <w:tabs>
          <w:tab w:val="num" w:pos="2880"/>
        </w:tabs>
        <w:ind w:left="2880" w:hanging="360"/>
      </w:pPr>
      <w:rPr>
        <w:rFonts w:ascii="Symbol" w:hAnsi="Symbol" w:hint="default"/>
      </w:rPr>
    </w:lvl>
    <w:lvl w:ilvl="4" w:tplc="4FE09524" w:tentative="1">
      <w:start w:val="1"/>
      <w:numFmt w:val="bullet"/>
      <w:lvlText w:val=""/>
      <w:lvlJc w:val="left"/>
      <w:pPr>
        <w:tabs>
          <w:tab w:val="num" w:pos="3600"/>
        </w:tabs>
        <w:ind w:left="3600" w:hanging="360"/>
      </w:pPr>
      <w:rPr>
        <w:rFonts w:ascii="Symbol" w:hAnsi="Symbol" w:hint="default"/>
      </w:rPr>
    </w:lvl>
    <w:lvl w:ilvl="5" w:tplc="08C4C5A4" w:tentative="1">
      <w:start w:val="1"/>
      <w:numFmt w:val="bullet"/>
      <w:lvlText w:val=""/>
      <w:lvlJc w:val="left"/>
      <w:pPr>
        <w:tabs>
          <w:tab w:val="num" w:pos="4320"/>
        </w:tabs>
        <w:ind w:left="4320" w:hanging="360"/>
      </w:pPr>
      <w:rPr>
        <w:rFonts w:ascii="Symbol" w:hAnsi="Symbol" w:hint="default"/>
      </w:rPr>
    </w:lvl>
    <w:lvl w:ilvl="6" w:tplc="AB7EA484" w:tentative="1">
      <w:start w:val="1"/>
      <w:numFmt w:val="bullet"/>
      <w:lvlText w:val=""/>
      <w:lvlJc w:val="left"/>
      <w:pPr>
        <w:tabs>
          <w:tab w:val="num" w:pos="5040"/>
        </w:tabs>
        <w:ind w:left="5040" w:hanging="360"/>
      </w:pPr>
      <w:rPr>
        <w:rFonts w:ascii="Symbol" w:hAnsi="Symbol" w:hint="default"/>
      </w:rPr>
    </w:lvl>
    <w:lvl w:ilvl="7" w:tplc="EE2CA79C" w:tentative="1">
      <w:start w:val="1"/>
      <w:numFmt w:val="bullet"/>
      <w:lvlText w:val=""/>
      <w:lvlJc w:val="left"/>
      <w:pPr>
        <w:tabs>
          <w:tab w:val="num" w:pos="5760"/>
        </w:tabs>
        <w:ind w:left="5760" w:hanging="360"/>
      </w:pPr>
      <w:rPr>
        <w:rFonts w:ascii="Symbol" w:hAnsi="Symbol" w:hint="default"/>
      </w:rPr>
    </w:lvl>
    <w:lvl w:ilvl="8" w:tplc="74A691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2654D"/>
    <w:multiLevelType w:val="hybridMultilevel"/>
    <w:tmpl w:val="F8265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5"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2DC23984"/>
    <w:multiLevelType w:val="multilevel"/>
    <w:tmpl w:val="7DAA6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A97C78"/>
    <w:multiLevelType w:val="hybridMultilevel"/>
    <w:tmpl w:val="A8985322"/>
    <w:lvl w:ilvl="0" w:tplc="0BAC09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ADB773F"/>
    <w:multiLevelType w:val="hybridMultilevel"/>
    <w:tmpl w:val="0810C3F4"/>
    <w:lvl w:ilvl="0" w:tplc="228A6F7A">
      <w:start w:val="1"/>
      <w:numFmt w:val="bullet"/>
      <w:lvlText w:val=""/>
      <w:lvlJc w:val="left"/>
      <w:pPr>
        <w:tabs>
          <w:tab w:val="num" w:pos="720"/>
        </w:tabs>
        <w:ind w:left="720" w:hanging="360"/>
      </w:pPr>
      <w:rPr>
        <w:rFonts w:ascii="Symbol" w:hAnsi="Symbol" w:hint="default"/>
      </w:rPr>
    </w:lvl>
    <w:lvl w:ilvl="1" w:tplc="0430F06E" w:tentative="1">
      <w:start w:val="1"/>
      <w:numFmt w:val="bullet"/>
      <w:lvlText w:val=""/>
      <w:lvlJc w:val="left"/>
      <w:pPr>
        <w:tabs>
          <w:tab w:val="num" w:pos="1440"/>
        </w:tabs>
        <w:ind w:left="1440" w:hanging="360"/>
      </w:pPr>
      <w:rPr>
        <w:rFonts w:ascii="Symbol" w:hAnsi="Symbol" w:hint="default"/>
      </w:rPr>
    </w:lvl>
    <w:lvl w:ilvl="2" w:tplc="2ECCD0B0" w:tentative="1">
      <w:start w:val="1"/>
      <w:numFmt w:val="bullet"/>
      <w:lvlText w:val=""/>
      <w:lvlJc w:val="left"/>
      <w:pPr>
        <w:tabs>
          <w:tab w:val="num" w:pos="2160"/>
        </w:tabs>
        <w:ind w:left="2160" w:hanging="360"/>
      </w:pPr>
      <w:rPr>
        <w:rFonts w:ascii="Symbol" w:hAnsi="Symbol" w:hint="default"/>
      </w:rPr>
    </w:lvl>
    <w:lvl w:ilvl="3" w:tplc="85AC9102" w:tentative="1">
      <w:start w:val="1"/>
      <w:numFmt w:val="bullet"/>
      <w:lvlText w:val=""/>
      <w:lvlJc w:val="left"/>
      <w:pPr>
        <w:tabs>
          <w:tab w:val="num" w:pos="2880"/>
        </w:tabs>
        <w:ind w:left="2880" w:hanging="360"/>
      </w:pPr>
      <w:rPr>
        <w:rFonts w:ascii="Symbol" w:hAnsi="Symbol" w:hint="default"/>
      </w:rPr>
    </w:lvl>
    <w:lvl w:ilvl="4" w:tplc="A7B093A8" w:tentative="1">
      <w:start w:val="1"/>
      <w:numFmt w:val="bullet"/>
      <w:lvlText w:val=""/>
      <w:lvlJc w:val="left"/>
      <w:pPr>
        <w:tabs>
          <w:tab w:val="num" w:pos="3600"/>
        </w:tabs>
        <w:ind w:left="3600" w:hanging="360"/>
      </w:pPr>
      <w:rPr>
        <w:rFonts w:ascii="Symbol" w:hAnsi="Symbol" w:hint="default"/>
      </w:rPr>
    </w:lvl>
    <w:lvl w:ilvl="5" w:tplc="FCB2D466" w:tentative="1">
      <w:start w:val="1"/>
      <w:numFmt w:val="bullet"/>
      <w:lvlText w:val=""/>
      <w:lvlJc w:val="left"/>
      <w:pPr>
        <w:tabs>
          <w:tab w:val="num" w:pos="4320"/>
        </w:tabs>
        <w:ind w:left="4320" w:hanging="360"/>
      </w:pPr>
      <w:rPr>
        <w:rFonts w:ascii="Symbol" w:hAnsi="Symbol" w:hint="default"/>
      </w:rPr>
    </w:lvl>
    <w:lvl w:ilvl="6" w:tplc="FAD0A2C4" w:tentative="1">
      <w:start w:val="1"/>
      <w:numFmt w:val="bullet"/>
      <w:lvlText w:val=""/>
      <w:lvlJc w:val="left"/>
      <w:pPr>
        <w:tabs>
          <w:tab w:val="num" w:pos="5040"/>
        </w:tabs>
        <w:ind w:left="5040" w:hanging="360"/>
      </w:pPr>
      <w:rPr>
        <w:rFonts w:ascii="Symbol" w:hAnsi="Symbol" w:hint="default"/>
      </w:rPr>
    </w:lvl>
    <w:lvl w:ilvl="7" w:tplc="D0ACE63C" w:tentative="1">
      <w:start w:val="1"/>
      <w:numFmt w:val="bullet"/>
      <w:lvlText w:val=""/>
      <w:lvlJc w:val="left"/>
      <w:pPr>
        <w:tabs>
          <w:tab w:val="num" w:pos="5760"/>
        </w:tabs>
        <w:ind w:left="5760" w:hanging="360"/>
      </w:pPr>
      <w:rPr>
        <w:rFonts w:ascii="Symbol" w:hAnsi="Symbol" w:hint="default"/>
      </w:rPr>
    </w:lvl>
    <w:lvl w:ilvl="8" w:tplc="363C112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4C3618"/>
    <w:multiLevelType w:val="hybridMultilevel"/>
    <w:tmpl w:val="CC80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C2D4B"/>
    <w:multiLevelType w:val="hybridMultilevel"/>
    <w:tmpl w:val="7E52A370"/>
    <w:lvl w:ilvl="0" w:tplc="91ECA830">
      <w:start w:val="1"/>
      <w:numFmt w:val="bullet"/>
      <w:lvlText w:val=""/>
      <w:lvlJc w:val="left"/>
      <w:pPr>
        <w:tabs>
          <w:tab w:val="num" w:pos="720"/>
        </w:tabs>
        <w:ind w:left="720" w:hanging="360"/>
      </w:pPr>
      <w:rPr>
        <w:rFonts w:ascii="Symbol" w:hAnsi="Symbol" w:hint="default"/>
      </w:rPr>
    </w:lvl>
    <w:lvl w:ilvl="1" w:tplc="EC341C3A">
      <w:start w:val="57"/>
      <w:numFmt w:val="bullet"/>
      <w:lvlText w:val=""/>
      <w:lvlJc w:val="left"/>
      <w:pPr>
        <w:tabs>
          <w:tab w:val="num" w:pos="1440"/>
        </w:tabs>
        <w:ind w:left="1440" w:hanging="360"/>
      </w:pPr>
      <w:rPr>
        <w:rFonts w:ascii="Symbol" w:hAnsi="Symbol" w:hint="default"/>
      </w:rPr>
    </w:lvl>
    <w:lvl w:ilvl="2" w:tplc="3A8A53C6" w:tentative="1">
      <w:start w:val="1"/>
      <w:numFmt w:val="bullet"/>
      <w:lvlText w:val=""/>
      <w:lvlJc w:val="left"/>
      <w:pPr>
        <w:tabs>
          <w:tab w:val="num" w:pos="2160"/>
        </w:tabs>
        <w:ind w:left="2160" w:hanging="360"/>
      </w:pPr>
      <w:rPr>
        <w:rFonts w:ascii="Symbol" w:hAnsi="Symbol" w:hint="default"/>
      </w:rPr>
    </w:lvl>
    <w:lvl w:ilvl="3" w:tplc="40209A72" w:tentative="1">
      <w:start w:val="1"/>
      <w:numFmt w:val="bullet"/>
      <w:lvlText w:val=""/>
      <w:lvlJc w:val="left"/>
      <w:pPr>
        <w:tabs>
          <w:tab w:val="num" w:pos="2880"/>
        </w:tabs>
        <w:ind w:left="2880" w:hanging="360"/>
      </w:pPr>
      <w:rPr>
        <w:rFonts w:ascii="Symbol" w:hAnsi="Symbol" w:hint="default"/>
      </w:rPr>
    </w:lvl>
    <w:lvl w:ilvl="4" w:tplc="95962646" w:tentative="1">
      <w:start w:val="1"/>
      <w:numFmt w:val="bullet"/>
      <w:lvlText w:val=""/>
      <w:lvlJc w:val="left"/>
      <w:pPr>
        <w:tabs>
          <w:tab w:val="num" w:pos="3600"/>
        </w:tabs>
        <w:ind w:left="3600" w:hanging="360"/>
      </w:pPr>
      <w:rPr>
        <w:rFonts w:ascii="Symbol" w:hAnsi="Symbol" w:hint="default"/>
      </w:rPr>
    </w:lvl>
    <w:lvl w:ilvl="5" w:tplc="ACB2BB18" w:tentative="1">
      <w:start w:val="1"/>
      <w:numFmt w:val="bullet"/>
      <w:lvlText w:val=""/>
      <w:lvlJc w:val="left"/>
      <w:pPr>
        <w:tabs>
          <w:tab w:val="num" w:pos="4320"/>
        </w:tabs>
        <w:ind w:left="4320" w:hanging="360"/>
      </w:pPr>
      <w:rPr>
        <w:rFonts w:ascii="Symbol" w:hAnsi="Symbol" w:hint="default"/>
      </w:rPr>
    </w:lvl>
    <w:lvl w:ilvl="6" w:tplc="16F28514" w:tentative="1">
      <w:start w:val="1"/>
      <w:numFmt w:val="bullet"/>
      <w:lvlText w:val=""/>
      <w:lvlJc w:val="left"/>
      <w:pPr>
        <w:tabs>
          <w:tab w:val="num" w:pos="5040"/>
        </w:tabs>
        <w:ind w:left="5040" w:hanging="360"/>
      </w:pPr>
      <w:rPr>
        <w:rFonts w:ascii="Symbol" w:hAnsi="Symbol" w:hint="default"/>
      </w:rPr>
    </w:lvl>
    <w:lvl w:ilvl="7" w:tplc="B956861E" w:tentative="1">
      <w:start w:val="1"/>
      <w:numFmt w:val="bullet"/>
      <w:lvlText w:val=""/>
      <w:lvlJc w:val="left"/>
      <w:pPr>
        <w:tabs>
          <w:tab w:val="num" w:pos="5760"/>
        </w:tabs>
        <w:ind w:left="5760" w:hanging="360"/>
      </w:pPr>
      <w:rPr>
        <w:rFonts w:ascii="Symbol" w:hAnsi="Symbol" w:hint="default"/>
      </w:rPr>
    </w:lvl>
    <w:lvl w:ilvl="8" w:tplc="C02E4EB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B1B6683"/>
    <w:multiLevelType w:val="hybridMultilevel"/>
    <w:tmpl w:val="1A9C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63885"/>
    <w:multiLevelType w:val="hybridMultilevel"/>
    <w:tmpl w:val="1FF8E73C"/>
    <w:lvl w:ilvl="0" w:tplc="6FC41FF6">
      <w:start w:val="1"/>
      <w:numFmt w:val="bullet"/>
      <w:lvlText w:val=""/>
      <w:lvlJc w:val="left"/>
      <w:pPr>
        <w:tabs>
          <w:tab w:val="num" w:pos="720"/>
        </w:tabs>
        <w:ind w:left="720" w:hanging="360"/>
      </w:pPr>
      <w:rPr>
        <w:rFonts w:ascii="Symbol" w:hAnsi="Symbol" w:hint="default"/>
      </w:rPr>
    </w:lvl>
    <w:lvl w:ilvl="1" w:tplc="700E62A8" w:tentative="1">
      <w:start w:val="1"/>
      <w:numFmt w:val="bullet"/>
      <w:lvlText w:val=""/>
      <w:lvlJc w:val="left"/>
      <w:pPr>
        <w:tabs>
          <w:tab w:val="num" w:pos="1440"/>
        </w:tabs>
        <w:ind w:left="1440" w:hanging="360"/>
      </w:pPr>
      <w:rPr>
        <w:rFonts w:ascii="Symbol" w:hAnsi="Symbol" w:hint="default"/>
      </w:rPr>
    </w:lvl>
    <w:lvl w:ilvl="2" w:tplc="2C5C0930" w:tentative="1">
      <w:start w:val="1"/>
      <w:numFmt w:val="bullet"/>
      <w:lvlText w:val=""/>
      <w:lvlJc w:val="left"/>
      <w:pPr>
        <w:tabs>
          <w:tab w:val="num" w:pos="2160"/>
        </w:tabs>
        <w:ind w:left="2160" w:hanging="360"/>
      </w:pPr>
      <w:rPr>
        <w:rFonts w:ascii="Symbol" w:hAnsi="Symbol" w:hint="default"/>
      </w:rPr>
    </w:lvl>
    <w:lvl w:ilvl="3" w:tplc="C2B06454" w:tentative="1">
      <w:start w:val="1"/>
      <w:numFmt w:val="bullet"/>
      <w:lvlText w:val=""/>
      <w:lvlJc w:val="left"/>
      <w:pPr>
        <w:tabs>
          <w:tab w:val="num" w:pos="2880"/>
        </w:tabs>
        <w:ind w:left="2880" w:hanging="360"/>
      </w:pPr>
      <w:rPr>
        <w:rFonts w:ascii="Symbol" w:hAnsi="Symbol" w:hint="default"/>
      </w:rPr>
    </w:lvl>
    <w:lvl w:ilvl="4" w:tplc="6546A246" w:tentative="1">
      <w:start w:val="1"/>
      <w:numFmt w:val="bullet"/>
      <w:lvlText w:val=""/>
      <w:lvlJc w:val="left"/>
      <w:pPr>
        <w:tabs>
          <w:tab w:val="num" w:pos="3600"/>
        </w:tabs>
        <w:ind w:left="3600" w:hanging="360"/>
      </w:pPr>
      <w:rPr>
        <w:rFonts w:ascii="Symbol" w:hAnsi="Symbol" w:hint="default"/>
      </w:rPr>
    </w:lvl>
    <w:lvl w:ilvl="5" w:tplc="F16AF810" w:tentative="1">
      <w:start w:val="1"/>
      <w:numFmt w:val="bullet"/>
      <w:lvlText w:val=""/>
      <w:lvlJc w:val="left"/>
      <w:pPr>
        <w:tabs>
          <w:tab w:val="num" w:pos="4320"/>
        </w:tabs>
        <w:ind w:left="4320" w:hanging="360"/>
      </w:pPr>
      <w:rPr>
        <w:rFonts w:ascii="Symbol" w:hAnsi="Symbol" w:hint="default"/>
      </w:rPr>
    </w:lvl>
    <w:lvl w:ilvl="6" w:tplc="3CB07F52" w:tentative="1">
      <w:start w:val="1"/>
      <w:numFmt w:val="bullet"/>
      <w:lvlText w:val=""/>
      <w:lvlJc w:val="left"/>
      <w:pPr>
        <w:tabs>
          <w:tab w:val="num" w:pos="5040"/>
        </w:tabs>
        <w:ind w:left="5040" w:hanging="360"/>
      </w:pPr>
      <w:rPr>
        <w:rFonts w:ascii="Symbol" w:hAnsi="Symbol" w:hint="default"/>
      </w:rPr>
    </w:lvl>
    <w:lvl w:ilvl="7" w:tplc="1278C13E" w:tentative="1">
      <w:start w:val="1"/>
      <w:numFmt w:val="bullet"/>
      <w:lvlText w:val=""/>
      <w:lvlJc w:val="left"/>
      <w:pPr>
        <w:tabs>
          <w:tab w:val="num" w:pos="5760"/>
        </w:tabs>
        <w:ind w:left="5760" w:hanging="360"/>
      </w:pPr>
      <w:rPr>
        <w:rFonts w:ascii="Symbol" w:hAnsi="Symbol" w:hint="default"/>
      </w:rPr>
    </w:lvl>
    <w:lvl w:ilvl="8" w:tplc="0CB4AAB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6C25E8"/>
    <w:multiLevelType w:val="hybridMultilevel"/>
    <w:tmpl w:val="DF1E1506"/>
    <w:lvl w:ilvl="0" w:tplc="E69A2554">
      <w:start w:val="1"/>
      <w:numFmt w:val="bullet"/>
      <w:lvlText w:val=""/>
      <w:lvlJc w:val="left"/>
      <w:pPr>
        <w:tabs>
          <w:tab w:val="num" w:pos="720"/>
        </w:tabs>
        <w:ind w:left="720" w:hanging="360"/>
      </w:pPr>
      <w:rPr>
        <w:rFonts w:ascii="Symbol" w:hAnsi="Symbol" w:hint="default"/>
      </w:rPr>
    </w:lvl>
    <w:lvl w:ilvl="1" w:tplc="57548386" w:tentative="1">
      <w:start w:val="1"/>
      <w:numFmt w:val="bullet"/>
      <w:lvlText w:val=""/>
      <w:lvlJc w:val="left"/>
      <w:pPr>
        <w:tabs>
          <w:tab w:val="num" w:pos="1440"/>
        </w:tabs>
        <w:ind w:left="1440" w:hanging="360"/>
      </w:pPr>
      <w:rPr>
        <w:rFonts w:ascii="Symbol" w:hAnsi="Symbol" w:hint="default"/>
      </w:rPr>
    </w:lvl>
    <w:lvl w:ilvl="2" w:tplc="1A20AA94" w:tentative="1">
      <w:start w:val="1"/>
      <w:numFmt w:val="bullet"/>
      <w:lvlText w:val=""/>
      <w:lvlJc w:val="left"/>
      <w:pPr>
        <w:tabs>
          <w:tab w:val="num" w:pos="2160"/>
        </w:tabs>
        <w:ind w:left="2160" w:hanging="360"/>
      </w:pPr>
      <w:rPr>
        <w:rFonts w:ascii="Symbol" w:hAnsi="Symbol" w:hint="default"/>
      </w:rPr>
    </w:lvl>
    <w:lvl w:ilvl="3" w:tplc="85D0E1F2" w:tentative="1">
      <w:start w:val="1"/>
      <w:numFmt w:val="bullet"/>
      <w:lvlText w:val=""/>
      <w:lvlJc w:val="left"/>
      <w:pPr>
        <w:tabs>
          <w:tab w:val="num" w:pos="2880"/>
        </w:tabs>
        <w:ind w:left="2880" w:hanging="360"/>
      </w:pPr>
      <w:rPr>
        <w:rFonts w:ascii="Symbol" w:hAnsi="Symbol" w:hint="default"/>
      </w:rPr>
    </w:lvl>
    <w:lvl w:ilvl="4" w:tplc="8B746CC0" w:tentative="1">
      <w:start w:val="1"/>
      <w:numFmt w:val="bullet"/>
      <w:lvlText w:val=""/>
      <w:lvlJc w:val="left"/>
      <w:pPr>
        <w:tabs>
          <w:tab w:val="num" w:pos="3600"/>
        </w:tabs>
        <w:ind w:left="3600" w:hanging="360"/>
      </w:pPr>
      <w:rPr>
        <w:rFonts w:ascii="Symbol" w:hAnsi="Symbol" w:hint="default"/>
      </w:rPr>
    </w:lvl>
    <w:lvl w:ilvl="5" w:tplc="A1E2DAC2" w:tentative="1">
      <w:start w:val="1"/>
      <w:numFmt w:val="bullet"/>
      <w:lvlText w:val=""/>
      <w:lvlJc w:val="left"/>
      <w:pPr>
        <w:tabs>
          <w:tab w:val="num" w:pos="4320"/>
        </w:tabs>
        <w:ind w:left="4320" w:hanging="360"/>
      </w:pPr>
      <w:rPr>
        <w:rFonts w:ascii="Symbol" w:hAnsi="Symbol" w:hint="default"/>
      </w:rPr>
    </w:lvl>
    <w:lvl w:ilvl="6" w:tplc="D0DC0510" w:tentative="1">
      <w:start w:val="1"/>
      <w:numFmt w:val="bullet"/>
      <w:lvlText w:val=""/>
      <w:lvlJc w:val="left"/>
      <w:pPr>
        <w:tabs>
          <w:tab w:val="num" w:pos="5040"/>
        </w:tabs>
        <w:ind w:left="5040" w:hanging="360"/>
      </w:pPr>
      <w:rPr>
        <w:rFonts w:ascii="Symbol" w:hAnsi="Symbol" w:hint="default"/>
      </w:rPr>
    </w:lvl>
    <w:lvl w:ilvl="7" w:tplc="7FF2D36C" w:tentative="1">
      <w:start w:val="1"/>
      <w:numFmt w:val="bullet"/>
      <w:lvlText w:val=""/>
      <w:lvlJc w:val="left"/>
      <w:pPr>
        <w:tabs>
          <w:tab w:val="num" w:pos="5760"/>
        </w:tabs>
        <w:ind w:left="5760" w:hanging="360"/>
      </w:pPr>
      <w:rPr>
        <w:rFonts w:ascii="Symbol" w:hAnsi="Symbol" w:hint="default"/>
      </w:rPr>
    </w:lvl>
    <w:lvl w:ilvl="8" w:tplc="7E96C73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AE2F8C"/>
    <w:multiLevelType w:val="hybridMultilevel"/>
    <w:tmpl w:val="0BCCF1B0"/>
    <w:lvl w:ilvl="0" w:tplc="93CC9978">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8" w15:restartNumberingAfterBreak="0">
    <w:nsid w:val="6D105D43"/>
    <w:multiLevelType w:val="hybridMultilevel"/>
    <w:tmpl w:val="6E6A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E1DF5"/>
    <w:multiLevelType w:val="hybridMultilevel"/>
    <w:tmpl w:val="F294C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9"/>
  </w:num>
  <w:num w:numId="3">
    <w:abstractNumId w:val="17"/>
  </w:num>
  <w:num w:numId="4">
    <w:abstractNumId w:val="24"/>
  </w:num>
  <w:num w:numId="5">
    <w:abstractNumId w:val="13"/>
  </w:num>
  <w:num w:numId="6">
    <w:abstractNumId w:val="41"/>
  </w:num>
  <w:num w:numId="7">
    <w:abstractNumId w:val="39"/>
  </w:num>
  <w:num w:numId="8">
    <w:abstractNumId w:val="27"/>
  </w:num>
  <w:num w:numId="9">
    <w:abstractNumId w:val="11"/>
  </w:num>
  <w:num w:numId="10">
    <w:abstractNumId w:val="35"/>
  </w:num>
  <w:num w:numId="11">
    <w:abstractNumId w:val="23"/>
  </w:num>
  <w:num w:numId="12">
    <w:abstractNumId w:val="30"/>
  </w:num>
  <w:num w:numId="13">
    <w:abstractNumId w:val="19"/>
  </w:num>
  <w:num w:numId="14">
    <w:abstractNumId w:val="2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5"/>
  </w:num>
  <w:num w:numId="20">
    <w:abstractNumId w:val="3"/>
  </w:num>
  <w:num w:numId="21">
    <w:abstractNumId w:val="1"/>
  </w:num>
  <w:num w:numId="22">
    <w:abstractNumId w:val="20"/>
  </w:num>
  <w:num w:numId="23">
    <w:abstractNumId w:val="36"/>
  </w:num>
  <w:num w:numId="24">
    <w:abstractNumId w:val="4"/>
  </w:num>
  <w:num w:numId="25">
    <w:abstractNumId w:val="15"/>
  </w:num>
  <w:num w:numId="26">
    <w:abstractNumId w:val="40"/>
  </w:num>
  <w:num w:numId="27">
    <w:abstractNumId w:val="5"/>
  </w:num>
  <w:num w:numId="28">
    <w:abstractNumId w:val="14"/>
  </w:num>
  <w:num w:numId="29">
    <w:abstractNumId w:val="43"/>
  </w:num>
  <w:num w:numId="30">
    <w:abstractNumId w:val="31"/>
  </w:num>
  <w:num w:numId="31">
    <w:abstractNumId w:val="22"/>
  </w:num>
  <w:num w:numId="32">
    <w:abstractNumId w:val="12"/>
  </w:num>
  <w:num w:numId="33">
    <w:abstractNumId w:val="38"/>
  </w:num>
  <w:num w:numId="34">
    <w:abstractNumId w:val="34"/>
  </w:num>
  <w:num w:numId="35">
    <w:abstractNumId w:val="42"/>
  </w:num>
  <w:num w:numId="36">
    <w:abstractNumId w:val="28"/>
  </w:num>
  <w:num w:numId="37">
    <w:abstractNumId w:val="32"/>
  </w:num>
  <w:num w:numId="38">
    <w:abstractNumId w:val="10"/>
  </w:num>
  <w:num w:numId="39">
    <w:abstractNumId w:val="16"/>
  </w:num>
  <w:num w:numId="40">
    <w:abstractNumId w:val="8"/>
  </w:num>
  <w:num w:numId="41">
    <w:abstractNumId w:val="26"/>
  </w:num>
  <w:num w:numId="42">
    <w:abstractNumId w:val="29"/>
  </w:num>
  <w:num w:numId="43">
    <w:abstractNumId w:val="7"/>
  </w:num>
  <w:num w:numId="44">
    <w:abstractNumId w:val="33"/>
  </w:num>
  <w:num w:numId="45">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74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15E1"/>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9FE"/>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52E4"/>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66C7"/>
    <w:rsid w:val="001B7E0C"/>
    <w:rsid w:val="001C0041"/>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148"/>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3DD1"/>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92"/>
    <w:rsid w:val="003175E1"/>
    <w:rsid w:val="00320299"/>
    <w:rsid w:val="00321154"/>
    <w:rsid w:val="003211B0"/>
    <w:rsid w:val="00321EDA"/>
    <w:rsid w:val="0032227C"/>
    <w:rsid w:val="003224AA"/>
    <w:rsid w:val="003224E7"/>
    <w:rsid w:val="00324119"/>
    <w:rsid w:val="00325D7A"/>
    <w:rsid w:val="00326145"/>
    <w:rsid w:val="003266A6"/>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042"/>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A92"/>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738"/>
    <w:rsid w:val="003E0042"/>
    <w:rsid w:val="003E0667"/>
    <w:rsid w:val="003E0BCE"/>
    <w:rsid w:val="003E13E0"/>
    <w:rsid w:val="003E1660"/>
    <w:rsid w:val="003E1CD1"/>
    <w:rsid w:val="003E2A2D"/>
    <w:rsid w:val="003E47D4"/>
    <w:rsid w:val="003E50B9"/>
    <w:rsid w:val="003E64A9"/>
    <w:rsid w:val="003E7905"/>
    <w:rsid w:val="003F0336"/>
    <w:rsid w:val="003F1C39"/>
    <w:rsid w:val="003F2CC6"/>
    <w:rsid w:val="003F3FCC"/>
    <w:rsid w:val="003F5547"/>
    <w:rsid w:val="003F5C40"/>
    <w:rsid w:val="003F6E12"/>
    <w:rsid w:val="003F6F8B"/>
    <w:rsid w:val="003F75ED"/>
    <w:rsid w:val="004002B7"/>
    <w:rsid w:val="0040067D"/>
    <w:rsid w:val="00400F31"/>
    <w:rsid w:val="004023BA"/>
    <w:rsid w:val="0040473B"/>
    <w:rsid w:val="00406B4D"/>
    <w:rsid w:val="0041227F"/>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3DD0"/>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E90"/>
    <w:rsid w:val="004D2629"/>
    <w:rsid w:val="004D26B8"/>
    <w:rsid w:val="004D2C2C"/>
    <w:rsid w:val="004D38C2"/>
    <w:rsid w:val="004D41DC"/>
    <w:rsid w:val="004D4654"/>
    <w:rsid w:val="004D4FBD"/>
    <w:rsid w:val="004D4FC0"/>
    <w:rsid w:val="004D5CE7"/>
    <w:rsid w:val="004D6381"/>
    <w:rsid w:val="004D7DA8"/>
    <w:rsid w:val="004E10CD"/>
    <w:rsid w:val="004E1401"/>
    <w:rsid w:val="004E1B64"/>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2D"/>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625"/>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239"/>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5B4"/>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18"/>
    <w:rsid w:val="00715B77"/>
    <w:rsid w:val="00715DBA"/>
    <w:rsid w:val="00716716"/>
    <w:rsid w:val="00716AA6"/>
    <w:rsid w:val="0071705B"/>
    <w:rsid w:val="0072013E"/>
    <w:rsid w:val="00720505"/>
    <w:rsid w:val="007224D0"/>
    <w:rsid w:val="007236A3"/>
    <w:rsid w:val="007239B6"/>
    <w:rsid w:val="0072490A"/>
    <w:rsid w:val="00724B64"/>
    <w:rsid w:val="0072517D"/>
    <w:rsid w:val="00726878"/>
    <w:rsid w:val="0073124A"/>
    <w:rsid w:val="00731378"/>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3EC6"/>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4E65"/>
    <w:rsid w:val="007E5AC2"/>
    <w:rsid w:val="007E79C5"/>
    <w:rsid w:val="007F2845"/>
    <w:rsid w:val="007F2A69"/>
    <w:rsid w:val="007F38A2"/>
    <w:rsid w:val="007F43BC"/>
    <w:rsid w:val="007F4740"/>
    <w:rsid w:val="007F58AE"/>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27FC5"/>
    <w:rsid w:val="008302B5"/>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3E42"/>
    <w:rsid w:val="008447F5"/>
    <w:rsid w:val="00846292"/>
    <w:rsid w:val="0084714C"/>
    <w:rsid w:val="008506E1"/>
    <w:rsid w:val="00850D96"/>
    <w:rsid w:val="008515EE"/>
    <w:rsid w:val="00851A8E"/>
    <w:rsid w:val="00851EC7"/>
    <w:rsid w:val="008528D3"/>
    <w:rsid w:val="00852B23"/>
    <w:rsid w:val="00853CC2"/>
    <w:rsid w:val="00854553"/>
    <w:rsid w:val="00855B86"/>
    <w:rsid w:val="00855D1D"/>
    <w:rsid w:val="00856192"/>
    <w:rsid w:val="00856D47"/>
    <w:rsid w:val="00860874"/>
    <w:rsid w:val="008609A3"/>
    <w:rsid w:val="00862008"/>
    <w:rsid w:val="00862720"/>
    <w:rsid w:val="008628C8"/>
    <w:rsid w:val="00862B2A"/>
    <w:rsid w:val="008630B9"/>
    <w:rsid w:val="0086391E"/>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7659C"/>
    <w:rsid w:val="00880EDF"/>
    <w:rsid w:val="008811FD"/>
    <w:rsid w:val="00882DDC"/>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13FF"/>
    <w:rsid w:val="008C2CFD"/>
    <w:rsid w:val="008C3FDC"/>
    <w:rsid w:val="008C47AD"/>
    <w:rsid w:val="008C5160"/>
    <w:rsid w:val="008C5CAE"/>
    <w:rsid w:val="008C603A"/>
    <w:rsid w:val="008C71C8"/>
    <w:rsid w:val="008C72CE"/>
    <w:rsid w:val="008D167D"/>
    <w:rsid w:val="008D1724"/>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C67"/>
    <w:rsid w:val="00967F99"/>
    <w:rsid w:val="009713BF"/>
    <w:rsid w:val="00971592"/>
    <w:rsid w:val="00971617"/>
    <w:rsid w:val="00971DDF"/>
    <w:rsid w:val="0097225C"/>
    <w:rsid w:val="009731D6"/>
    <w:rsid w:val="00973FC6"/>
    <w:rsid w:val="00974746"/>
    <w:rsid w:val="0097499A"/>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763"/>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3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87FCC"/>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65A"/>
    <w:rsid w:val="00AB674E"/>
    <w:rsid w:val="00AB6D79"/>
    <w:rsid w:val="00AB6FCA"/>
    <w:rsid w:val="00AB709E"/>
    <w:rsid w:val="00AB7806"/>
    <w:rsid w:val="00AC01BC"/>
    <w:rsid w:val="00AC02C1"/>
    <w:rsid w:val="00AC0AB6"/>
    <w:rsid w:val="00AC10AD"/>
    <w:rsid w:val="00AC15A0"/>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193A"/>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1E98"/>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4FDF"/>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77"/>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50B"/>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69"/>
    <w:rsid w:val="00C43FF0"/>
    <w:rsid w:val="00C44641"/>
    <w:rsid w:val="00C45EF5"/>
    <w:rsid w:val="00C4646E"/>
    <w:rsid w:val="00C46B7E"/>
    <w:rsid w:val="00C474D6"/>
    <w:rsid w:val="00C47538"/>
    <w:rsid w:val="00C5099B"/>
    <w:rsid w:val="00C50A4E"/>
    <w:rsid w:val="00C51C37"/>
    <w:rsid w:val="00C520B1"/>
    <w:rsid w:val="00C522D6"/>
    <w:rsid w:val="00C52C52"/>
    <w:rsid w:val="00C5311D"/>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01F2"/>
    <w:rsid w:val="00C91857"/>
    <w:rsid w:val="00C9213B"/>
    <w:rsid w:val="00C93462"/>
    <w:rsid w:val="00C94384"/>
    <w:rsid w:val="00C94A34"/>
    <w:rsid w:val="00C94C2B"/>
    <w:rsid w:val="00C94F73"/>
    <w:rsid w:val="00C95609"/>
    <w:rsid w:val="00C96F79"/>
    <w:rsid w:val="00C97CF9"/>
    <w:rsid w:val="00CA1587"/>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2DA"/>
    <w:rsid w:val="00CC180A"/>
    <w:rsid w:val="00CC1F61"/>
    <w:rsid w:val="00CC261E"/>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9BE"/>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0E59"/>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414"/>
    <w:rsid w:val="00D81F10"/>
    <w:rsid w:val="00D82798"/>
    <w:rsid w:val="00D82BF2"/>
    <w:rsid w:val="00D84A57"/>
    <w:rsid w:val="00D87307"/>
    <w:rsid w:val="00D874DF"/>
    <w:rsid w:val="00D87A12"/>
    <w:rsid w:val="00D91CE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585A"/>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D80A9"/>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07CC8"/>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4BD0"/>
    <w:rsid w:val="00E24C38"/>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970"/>
    <w:rsid w:val="00E53A01"/>
    <w:rsid w:val="00E55494"/>
    <w:rsid w:val="00E564C4"/>
    <w:rsid w:val="00E567C9"/>
    <w:rsid w:val="00E569F2"/>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033D"/>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5423"/>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5407"/>
    <w:rsid w:val="00FA645E"/>
    <w:rsid w:val="00FA6A1E"/>
    <w:rsid w:val="00FA6E7F"/>
    <w:rsid w:val="00FA7114"/>
    <w:rsid w:val="00FB052D"/>
    <w:rsid w:val="00FB1594"/>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AA"/>
    <w:rsid w:val="00FE7CF9"/>
    <w:rsid w:val="00FF033A"/>
    <w:rsid w:val="00FF0964"/>
    <w:rsid w:val="00FF0F67"/>
    <w:rsid w:val="00FF11B9"/>
    <w:rsid w:val="00FF16F2"/>
    <w:rsid w:val="00FF1F9B"/>
    <w:rsid w:val="00FF2611"/>
    <w:rsid w:val="00FF2B42"/>
    <w:rsid w:val="00FF2D5B"/>
    <w:rsid w:val="00FF3B7F"/>
    <w:rsid w:val="00FF4F92"/>
    <w:rsid w:val="00FF5428"/>
    <w:rsid w:val="00FF54EB"/>
    <w:rsid w:val="00FF6822"/>
    <w:rsid w:val="00FF73D0"/>
    <w:rsid w:val="0123A100"/>
    <w:rsid w:val="01AC2D60"/>
    <w:rsid w:val="027DED27"/>
    <w:rsid w:val="02CC9BE2"/>
    <w:rsid w:val="02E74DE5"/>
    <w:rsid w:val="040A21AF"/>
    <w:rsid w:val="0598DF19"/>
    <w:rsid w:val="06BA53E3"/>
    <w:rsid w:val="06C116FD"/>
    <w:rsid w:val="070064E9"/>
    <w:rsid w:val="07B39E99"/>
    <w:rsid w:val="07BA243F"/>
    <w:rsid w:val="07C26E2A"/>
    <w:rsid w:val="0960B8B2"/>
    <w:rsid w:val="09C0678C"/>
    <w:rsid w:val="0A531494"/>
    <w:rsid w:val="0B7B0FD4"/>
    <w:rsid w:val="0C365EA4"/>
    <w:rsid w:val="0C7C81B0"/>
    <w:rsid w:val="0CBB453D"/>
    <w:rsid w:val="0D037167"/>
    <w:rsid w:val="0D0EDE05"/>
    <w:rsid w:val="0DE61553"/>
    <w:rsid w:val="0E07177E"/>
    <w:rsid w:val="0E29498A"/>
    <w:rsid w:val="0E63D3C4"/>
    <w:rsid w:val="0ED41F8D"/>
    <w:rsid w:val="0ED7E6DF"/>
    <w:rsid w:val="0EFDD77C"/>
    <w:rsid w:val="0F0C63F5"/>
    <w:rsid w:val="0F280164"/>
    <w:rsid w:val="0F71A9C2"/>
    <w:rsid w:val="0F73382C"/>
    <w:rsid w:val="0F88C7F4"/>
    <w:rsid w:val="0FE63526"/>
    <w:rsid w:val="102F49EC"/>
    <w:rsid w:val="10E807B4"/>
    <w:rsid w:val="10FE28B3"/>
    <w:rsid w:val="11194638"/>
    <w:rsid w:val="114591CA"/>
    <w:rsid w:val="116D670A"/>
    <w:rsid w:val="11A2E14B"/>
    <w:rsid w:val="1328B26E"/>
    <w:rsid w:val="141204DA"/>
    <w:rsid w:val="145BC795"/>
    <w:rsid w:val="14A054AA"/>
    <w:rsid w:val="14A7980B"/>
    <w:rsid w:val="16343A3F"/>
    <w:rsid w:val="16512788"/>
    <w:rsid w:val="1673EFC7"/>
    <w:rsid w:val="16CD5C0D"/>
    <w:rsid w:val="1703FA0C"/>
    <w:rsid w:val="176B25A9"/>
    <w:rsid w:val="1825846E"/>
    <w:rsid w:val="184204ED"/>
    <w:rsid w:val="1915AFB6"/>
    <w:rsid w:val="1A134620"/>
    <w:rsid w:val="1A219784"/>
    <w:rsid w:val="1A482832"/>
    <w:rsid w:val="1BAAF049"/>
    <w:rsid w:val="1C2DB5CF"/>
    <w:rsid w:val="1C726F4E"/>
    <w:rsid w:val="1CCEFC98"/>
    <w:rsid w:val="1D3F0ADE"/>
    <w:rsid w:val="1DBAFE4C"/>
    <w:rsid w:val="1E8211F6"/>
    <w:rsid w:val="1E97CC01"/>
    <w:rsid w:val="1EC6543F"/>
    <w:rsid w:val="1F0D38D6"/>
    <w:rsid w:val="1F62450A"/>
    <w:rsid w:val="1FAE4E7B"/>
    <w:rsid w:val="1FEF8707"/>
    <w:rsid w:val="200F9ED6"/>
    <w:rsid w:val="207C5373"/>
    <w:rsid w:val="20809F63"/>
    <w:rsid w:val="20B6CDF1"/>
    <w:rsid w:val="20C9F325"/>
    <w:rsid w:val="20EEC570"/>
    <w:rsid w:val="21A54039"/>
    <w:rsid w:val="21A61277"/>
    <w:rsid w:val="21F306FF"/>
    <w:rsid w:val="2325766C"/>
    <w:rsid w:val="233FF8B8"/>
    <w:rsid w:val="239BFA12"/>
    <w:rsid w:val="244A96F8"/>
    <w:rsid w:val="248414A5"/>
    <w:rsid w:val="25612092"/>
    <w:rsid w:val="25D5658B"/>
    <w:rsid w:val="2627B220"/>
    <w:rsid w:val="264E85C3"/>
    <w:rsid w:val="266FE516"/>
    <w:rsid w:val="2717C92B"/>
    <w:rsid w:val="272A2CFC"/>
    <w:rsid w:val="27B9D662"/>
    <w:rsid w:val="27FF58B1"/>
    <w:rsid w:val="28CC2A15"/>
    <w:rsid w:val="2A1DFC97"/>
    <w:rsid w:val="2A307146"/>
    <w:rsid w:val="2A315D72"/>
    <w:rsid w:val="2AA3ECEF"/>
    <w:rsid w:val="2C081102"/>
    <w:rsid w:val="2C4A46DB"/>
    <w:rsid w:val="2C87A766"/>
    <w:rsid w:val="2CCCC7AE"/>
    <w:rsid w:val="2D667E6D"/>
    <w:rsid w:val="2F30754C"/>
    <w:rsid w:val="2F6639AC"/>
    <w:rsid w:val="2FE51534"/>
    <w:rsid w:val="318F02DD"/>
    <w:rsid w:val="31C56060"/>
    <w:rsid w:val="32182866"/>
    <w:rsid w:val="32975CEE"/>
    <w:rsid w:val="32B31FBE"/>
    <w:rsid w:val="330A0C68"/>
    <w:rsid w:val="33949CF5"/>
    <w:rsid w:val="33A4A8DC"/>
    <w:rsid w:val="3464471D"/>
    <w:rsid w:val="346901B8"/>
    <w:rsid w:val="34E3168C"/>
    <w:rsid w:val="35A52315"/>
    <w:rsid w:val="3709947C"/>
    <w:rsid w:val="37257447"/>
    <w:rsid w:val="38076F22"/>
    <w:rsid w:val="38407FA1"/>
    <w:rsid w:val="38986477"/>
    <w:rsid w:val="3A31BD87"/>
    <w:rsid w:val="3A4DB84D"/>
    <w:rsid w:val="3A7D1197"/>
    <w:rsid w:val="3A873327"/>
    <w:rsid w:val="3A9BAB2D"/>
    <w:rsid w:val="3B12303E"/>
    <w:rsid w:val="3B6CD76C"/>
    <w:rsid w:val="3CC3CBBA"/>
    <w:rsid w:val="3CF691A8"/>
    <w:rsid w:val="3E038D88"/>
    <w:rsid w:val="3E61DC49"/>
    <w:rsid w:val="3EF55451"/>
    <w:rsid w:val="3F8AA7C7"/>
    <w:rsid w:val="4008D6ED"/>
    <w:rsid w:val="4020047E"/>
    <w:rsid w:val="402B8C46"/>
    <w:rsid w:val="407BB529"/>
    <w:rsid w:val="407FAA03"/>
    <w:rsid w:val="40BDF984"/>
    <w:rsid w:val="411D94BF"/>
    <w:rsid w:val="416979EA"/>
    <w:rsid w:val="41CA4D00"/>
    <w:rsid w:val="4204F716"/>
    <w:rsid w:val="4300A28A"/>
    <w:rsid w:val="4439A050"/>
    <w:rsid w:val="443D3201"/>
    <w:rsid w:val="44C7AF3F"/>
    <w:rsid w:val="44FC3CBD"/>
    <w:rsid w:val="4592DFDC"/>
    <w:rsid w:val="46A7B5C6"/>
    <w:rsid w:val="46A87EA7"/>
    <w:rsid w:val="4724FB59"/>
    <w:rsid w:val="47ED3E0C"/>
    <w:rsid w:val="4851C3F2"/>
    <w:rsid w:val="4864C39F"/>
    <w:rsid w:val="48AC1F1E"/>
    <w:rsid w:val="48B6BE8E"/>
    <w:rsid w:val="48C8C21C"/>
    <w:rsid w:val="48CAD879"/>
    <w:rsid w:val="4A2AA85C"/>
    <w:rsid w:val="4A351B87"/>
    <w:rsid w:val="4A532CC9"/>
    <w:rsid w:val="4A6DB8CD"/>
    <w:rsid w:val="4C8FAA3F"/>
    <w:rsid w:val="4C9CF449"/>
    <w:rsid w:val="4CEF64AA"/>
    <w:rsid w:val="4D5F178A"/>
    <w:rsid w:val="4D62406C"/>
    <w:rsid w:val="4D641760"/>
    <w:rsid w:val="4E24536E"/>
    <w:rsid w:val="4EA150A5"/>
    <w:rsid w:val="4F47E12C"/>
    <w:rsid w:val="4F9C7E82"/>
    <w:rsid w:val="4F9E5BE0"/>
    <w:rsid w:val="4FC3917F"/>
    <w:rsid w:val="5096FE57"/>
    <w:rsid w:val="52562533"/>
    <w:rsid w:val="5355DACF"/>
    <w:rsid w:val="5372681D"/>
    <w:rsid w:val="53C8C3BE"/>
    <w:rsid w:val="549FD8A4"/>
    <w:rsid w:val="54C209B4"/>
    <w:rsid w:val="55710943"/>
    <w:rsid w:val="558CAF5F"/>
    <w:rsid w:val="5595B4DE"/>
    <w:rsid w:val="559CF565"/>
    <w:rsid w:val="567380E6"/>
    <w:rsid w:val="5722E883"/>
    <w:rsid w:val="574EC407"/>
    <w:rsid w:val="576C7673"/>
    <w:rsid w:val="577ABB3F"/>
    <w:rsid w:val="578C81EA"/>
    <w:rsid w:val="578D3714"/>
    <w:rsid w:val="57FB48B2"/>
    <w:rsid w:val="580781B6"/>
    <w:rsid w:val="58E50950"/>
    <w:rsid w:val="58F17FA8"/>
    <w:rsid w:val="59236257"/>
    <w:rsid w:val="59268B70"/>
    <w:rsid w:val="59DEB329"/>
    <w:rsid w:val="5A09510C"/>
    <w:rsid w:val="5A1F6C83"/>
    <w:rsid w:val="5B1F9084"/>
    <w:rsid w:val="5B329F15"/>
    <w:rsid w:val="5B73DA29"/>
    <w:rsid w:val="5B7ECE71"/>
    <w:rsid w:val="5C0394FA"/>
    <w:rsid w:val="5C07BE12"/>
    <w:rsid w:val="5D9B244C"/>
    <w:rsid w:val="5DDAE991"/>
    <w:rsid w:val="5E39F18E"/>
    <w:rsid w:val="5FB367A3"/>
    <w:rsid w:val="601429BD"/>
    <w:rsid w:val="60176274"/>
    <w:rsid w:val="60417B16"/>
    <w:rsid w:val="60757623"/>
    <w:rsid w:val="60BFB52A"/>
    <w:rsid w:val="60EA603D"/>
    <w:rsid w:val="616465FB"/>
    <w:rsid w:val="621751B3"/>
    <w:rsid w:val="62470F64"/>
    <w:rsid w:val="627F4588"/>
    <w:rsid w:val="6361E8DA"/>
    <w:rsid w:val="6383B2B3"/>
    <w:rsid w:val="63F68DAB"/>
    <w:rsid w:val="64E882BE"/>
    <w:rsid w:val="655741C0"/>
    <w:rsid w:val="65589012"/>
    <w:rsid w:val="65FA20B1"/>
    <w:rsid w:val="660C921C"/>
    <w:rsid w:val="661D2E44"/>
    <w:rsid w:val="66740B0C"/>
    <w:rsid w:val="6700201C"/>
    <w:rsid w:val="67205F1A"/>
    <w:rsid w:val="672BEDA5"/>
    <w:rsid w:val="682355E9"/>
    <w:rsid w:val="68884C0C"/>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1527F9E"/>
    <w:rsid w:val="72146DBB"/>
    <w:rsid w:val="72495E88"/>
    <w:rsid w:val="72654683"/>
    <w:rsid w:val="730CFBD0"/>
    <w:rsid w:val="73F31950"/>
    <w:rsid w:val="740C7680"/>
    <w:rsid w:val="740CD04C"/>
    <w:rsid w:val="753A2DF0"/>
    <w:rsid w:val="7555EECF"/>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B4E588"/>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30E0293E"/>
  <w15:docId w15:val="{224342CA-0FEE-4467-9E7D-299E6FA46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0449">
      <w:bodyDiv w:val="1"/>
      <w:marLeft w:val="0"/>
      <w:marRight w:val="0"/>
      <w:marTop w:val="0"/>
      <w:marBottom w:val="0"/>
      <w:divBdr>
        <w:top w:val="none" w:sz="0" w:space="0" w:color="auto"/>
        <w:left w:val="none" w:sz="0" w:space="0" w:color="auto"/>
        <w:bottom w:val="none" w:sz="0" w:space="0" w:color="auto"/>
        <w:right w:val="none" w:sz="0" w:space="0" w:color="auto"/>
      </w:divBdr>
    </w:div>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943637">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0695436">
      <w:bodyDiv w:val="1"/>
      <w:marLeft w:val="0"/>
      <w:marRight w:val="0"/>
      <w:marTop w:val="0"/>
      <w:marBottom w:val="0"/>
      <w:divBdr>
        <w:top w:val="none" w:sz="0" w:space="0" w:color="auto"/>
        <w:left w:val="none" w:sz="0" w:space="0" w:color="auto"/>
        <w:bottom w:val="none" w:sz="0" w:space="0" w:color="auto"/>
        <w:right w:val="none" w:sz="0" w:space="0" w:color="auto"/>
      </w:divBdr>
      <w:divsChild>
        <w:div w:id="548155182">
          <w:marLeft w:val="547"/>
          <w:marRight w:val="0"/>
          <w:marTop w:val="0"/>
          <w:marBottom w:val="0"/>
          <w:divBdr>
            <w:top w:val="none" w:sz="0" w:space="0" w:color="auto"/>
            <w:left w:val="none" w:sz="0" w:space="0" w:color="auto"/>
            <w:bottom w:val="none" w:sz="0" w:space="0" w:color="auto"/>
            <w:right w:val="none" w:sz="0" w:space="0" w:color="auto"/>
          </w:divBdr>
        </w:div>
        <w:div w:id="1364213798">
          <w:marLeft w:val="1166"/>
          <w:marRight w:val="0"/>
          <w:marTop w:val="0"/>
          <w:marBottom w:val="120"/>
          <w:divBdr>
            <w:top w:val="none" w:sz="0" w:space="0" w:color="auto"/>
            <w:left w:val="none" w:sz="0" w:space="0" w:color="auto"/>
            <w:bottom w:val="none" w:sz="0" w:space="0" w:color="auto"/>
            <w:right w:val="none" w:sz="0" w:space="0" w:color="auto"/>
          </w:divBdr>
        </w:div>
        <w:div w:id="867376786">
          <w:marLeft w:val="1166"/>
          <w:marRight w:val="0"/>
          <w:marTop w:val="0"/>
          <w:marBottom w:val="120"/>
          <w:divBdr>
            <w:top w:val="none" w:sz="0" w:space="0" w:color="auto"/>
            <w:left w:val="none" w:sz="0" w:space="0" w:color="auto"/>
            <w:bottom w:val="none" w:sz="0" w:space="0" w:color="auto"/>
            <w:right w:val="none" w:sz="0" w:space="0" w:color="auto"/>
          </w:divBdr>
        </w:div>
        <w:div w:id="247277780">
          <w:marLeft w:val="1166"/>
          <w:marRight w:val="0"/>
          <w:marTop w:val="0"/>
          <w:marBottom w:val="120"/>
          <w:divBdr>
            <w:top w:val="none" w:sz="0" w:space="0" w:color="auto"/>
            <w:left w:val="none" w:sz="0" w:space="0" w:color="auto"/>
            <w:bottom w:val="none" w:sz="0" w:space="0" w:color="auto"/>
            <w:right w:val="none" w:sz="0" w:space="0" w:color="auto"/>
          </w:divBdr>
        </w:div>
        <w:div w:id="636103036">
          <w:marLeft w:val="1166"/>
          <w:marRight w:val="0"/>
          <w:marTop w:val="0"/>
          <w:marBottom w:val="120"/>
          <w:divBdr>
            <w:top w:val="none" w:sz="0" w:space="0" w:color="auto"/>
            <w:left w:val="none" w:sz="0" w:space="0" w:color="auto"/>
            <w:bottom w:val="none" w:sz="0" w:space="0" w:color="auto"/>
            <w:right w:val="none" w:sz="0" w:space="0" w:color="auto"/>
          </w:divBdr>
        </w:div>
        <w:div w:id="38433989">
          <w:marLeft w:val="547"/>
          <w:marRight w:val="0"/>
          <w:marTop w:val="0"/>
          <w:marBottom w:val="0"/>
          <w:divBdr>
            <w:top w:val="none" w:sz="0" w:space="0" w:color="auto"/>
            <w:left w:val="none" w:sz="0" w:space="0" w:color="auto"/>
            <w:bottom w:val="none" w:sz="0" w:space="0" w:color="auto"/>
            <w:right w:val="none" w:sz="0" w:space="0" w:color="auto"/>
          </w:divBdr>
        </w:div>
        <w:div w:id="310670973">
          <w:marLeft w:val="1166"/>
          <w:marRight w:val="0"/>
          <w:marTop w:val="0"/>
          <w:marBottom w:val="120"/>
          <w:divBdr>
            <w:top w:val="none" w:sz="0" w:space="0" w:color="auto"/>
            <w:left w:val="none" w:sz="0" w:space="0" w:color="auto"/>
            <w:bottom w:val="none" w:sz="0" w:space="0" w:color="auto"/>
            <w:right w:val="none" w:sz="0" w:space="0" w:color="auto"/>
          </w:divBdr>
        </w:div>
        <w:div w:id="724377793">
          <w:marLeft w:val="1800"/>
          <w:marRight w:val="0"/>
          <w:marTop w:val="0"/>
          <w:marBottom w:val="0"/>
          <w:divBdr>
            <w:top w:val="none" w:sz="0" w:space="0" w:color="auto"/>
            <w:left w:val="none" w:sz="0" w:space="0" w:color="auto"/>
            <w:bottom w:val="none" w:sz="0" w:space="0" w:color="auto"/>
            <w:right w:val="none" w:sz="0" w:space="0" w:color="auto"/>
          </w:divBdr>
        </w:div>
        <w:div w:id="306668272">
          <w:marLeft w:val="1166"/>
          <w:marRight w:val="0"/>
          <w:marTop w:val="0"/>
          <w:marBottom w:val="120"/>
          <w:divBdr>
            <w:top w:val="none" w:sz="0" w:space="0" w:color="auto"/>
            <w:left w:val="none" w:sz="0" w:space="0" w:color="auto"/>
            <w:bottom w:val="none" w:sz="0" w:space="0" w:color="auto"/>
            <w:right w:val="none" w:sz="0" w:space="0" w:color="auto"/>
          </w:divBdr>
        </w:div>
        <w:div w:id="653677839">
          <w:marLeft w:val="1800"/>
          <w:marRight w:val="0"/>
          <w:marTop w:val="0"/>
          <w:marBottom w:val="0"/>
          <w:divBdr>
            <w:top w:val="none" w:sz="0" w:space="0" w:color="auto"/>
            <w:left w:val="none" w:sz="0" w:space="0" w:color="auto"/>
            <w:bottom w:val="none" w:sz="0" w:space="0" w:color="auto"/>
            <w:right w:val="none" w:sz="0" w:space="0" w:color="auto"/>
          </w:divBdr>
        </w:div>
        <w:div w:id="453448397">
          <w:marLeft w:val="1166"/>
          <w:marRight w:val="0"/>
          <w:marTop w:val="0"/>
          <w:marBottom w:val="120"/>
          <w:divBdr>
            <w:top w:val="none" w:sz="0" w:space="0" w:color="auto"/>
            <w:left w:val="none" w:sz="0" w:space="0" w:color="auto"/>
            <w:bottom w:val="none" w:sz="0" w:space="0" w:color="auto"/>
            <w:right w:val="none" w:sz="0" w:space="0" w:color="auto"/>
          </w:divBdr>
        </w:div>
        <w:div w:id="1630629181">
          <w:marLeft w:val="1166"/>
          <w:marRight w:val="0"/>
          <w:marTop w:val="0"/>
          <w:marBottom w:val="120"/>
          <w:divBdr>
            <w:top w:val="none" w:sz="0" w:space="0" w:color="auto"/>
            <w:left w:val="none" w:sz="0" w:space="0" w:color="auto"/>
            <w:bottom w:val="none" w:sz="0" w:space="0" w:color="auto"/>
            <w:right w:val="none" w:sz="0" w:space="0" w:color="auto"/>
          </w:divBdr>
        </w:div>
        <w:div w:id="269046220">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377924">
      <w:bodyDiv w:val="1"/>
      <w:marLeft w:val="0"/>
      <w:marRight w:val="0"/>
      <w:marTop w:val="0"/>
      <w:marBottom w:val="0"/>
      <w:divBdr>
        <w:top w:val="none" w:sz="0" w:space="0" w:color="auto"/>
        <w:left w:val="none" w:sz="0" w:space="0" w:color="auto"/>
        <w:bottom w:val="none" w:sz="0" w:space="0" w:color="auto"/>
        <w:right w:val="none" w:sz="0" w:space="0" w:color="auto"/>
      </w:divBdr>
      <w:divsChild>
        <w:div w:id="668100099">
          <w:marLeft w:val="547"/>
          <w:marRight w:val="0"/>
          <w:marTop w:val="0"/>
          <w:marBottom w:val="0"/>
          <w:divBdr>
            <w:top w:val="none" w:sz="0" w:space="0" w:color="auto"/>
            <w:left w:val="none" w:sz="0" w:space="0" w:color="auto"/>
            <w:bottom w:val="none" w:sz="0" w:space="0" w:color="auto"/>
            <w:right w:val="none" w:sz="0" w:space="0" w:color="auto"/>
          </w:divBdr>
        </w:div>
        <w:div w:id="2138447198">
          <w:marLeft w:val="547"/>
          <w:marRight w:val="0"/>
          <w:marTop w:val="0"/>
          <w:marBottom w:val="0"/>
          <w:divBdr>
            <w:top w:val="none" w:sz="0" w:space="0" w:color="auto"/>
            <w:left w:val="none" w:sz="0" w:space="0" w:color="auto"/>
            <w:bottom w:val="none" w:sz="0" w:space="0" w:color="auto"/>
            <w:right w:val="none" w:sz="0" w:space="0" w:color="auto"/>
          </w:divBdr>
        </w:div>
      </w:divsChild>
    </w:div>
    <w:div w:id="1138646522">
      <w:bodyDiv w:val="1"/>
      <w:marLeft w:val="0"/>
      <w:marRight w:val="0"/>
      <w:marTop w:val="0"/>
      <w:marBottom w:val="0"/>
      <w:divBdr>
        <w:top w:val="none" w:sz="0" w:space="0" w:color="auto"/>
        <w:left w:val="none" w:sz="0" w:space="0" w:color="auto"/>
        <w:bottom w:val="none" w:sz="0" w:space="0" w:color="auto"/>
        <w:right w:val="none" w:sz="0" w:space="0" w:color="auto"/>
      </w:divBdr>
      <w:divsChild>
        <w:div w:id="66152120">
          <w:marLeft w:val="547"/>
          <w:marRight w:val="0"/>
          <w:marTop w:val="0"/>
          <w:marBottom w:val="0"/>
          <w:divBdr>
            <w:top w:val="none" w:sz="0" w:space="0" w:color="auto"/>
            <w:left w:val="none" w:sz="0" w:space="0" w:color="auto"/>
            <w:bottom w:val="none" w:sz="0" w:space="0" w:color="auto"/>
            <w:right w:val="none" w:sz="0" w:space="0" w:color="auto"/>
          </w:divBdr>
        </w:div>
        <w:div w:id="15619433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03377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3597238">
      <w:bodyDiv w:val="1"/>
      <w:marLeft w:val="0"/>
      <w:marRight w:val="0"/>
      <w:marTop w:val="0"/>
      <w:marBottom w:val="0"/>
      <w:divBdr>
        <w:top w:val="none" w:sz="0" w:space="0" w:color="auto"/>
        <w:left w:val="none" w:sz="0" w:space="0" w:color="auto"/>
        <w:bottom w:val="none" w:sz="0" w:space="0" w:color="auto"/>
        <w:right w:val="none" w:sz="0" w:space="0" w:color="auto"/>
      </w:divBdr>
      <w:divsChild>
        <w:div w:id="895582132">
          <w:marLeft w:val="547"/>
          <w:marRight w:val="0"/>
          <w:marTop w:val="0"/>
          <w:marBottom w:val="0"/>
          <w:divBdr>
            <w:top w:val="none" w:sz="0" w:space="0" w:color="auto"/>
            <w:left w:val="none" w:sz="0" w:space="0" w:color="auto"/>
            <w:bottom w:val="none" w:sz="0" w:space="0" w:color="auto"/>
            <w:right w:val="none" w:sz="0" w:space="0" w:color="auto"/>
          </w:divBdr>
        </w:div>
        <w:div w:id="1074551329">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408500">
      <w:bodyDiv w:val="1"/>
      <w:marLeft w:val="0"/>
      <w:marRight w:val="0"/>
      <w:marTop w:val="0"/>
      <w:marBottom w:val="0"/>
      <w:divBdr>
        <w:top w:val="none" w:sz="0" w:space="0" w:color="auto"/>
        <w:left w:val="none" w:sz="0" w:space="0" w:color="auto"/>
        <w:bottom w:val="none" w:sz="0" w:space="0" w:color="auto"/>
        <w:right w:val="none" w:sz="0" w:space="0" w:color="auto"/>
      </w:divBdr>
      <w:divsChild>
        <w:div w:id="1924727745">
          <w:marLeft w:val="547"/>
          <w:marRight w:val="0"/>
          <w:marTop w:val="0"/>
          <w:marBottom w:val="0"/>
          <w:divBdr>
            <w:top w:val="none" w:sz="0" w:space="0" w:color="auto"/>
            <w:left w:val="none" w:sz="0" w:space="0" w:color="auto"/>
            <w:bottom w:val="none" w:sz="0" w:space="0" w:color="auto"/>
            <w:right w:val="none" w:sz="0" w:space="0" w:color="auto"/>
          </w:divBdr>
        </w:div>
        <w:div w:id="371079521">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928197">
      <w:bodyDiv w:val="1"/>
      <w:marLeft w:val="0"/>
      <w:marRight w:val="0"/>
      <w:marTop w:val="0"/>
      <w:marBottom w:val="0"/>
      <w:divBdr>
        <w:top w:val="none" w:sz="0" w:space="0" w:color="auto"/>
        <w:left w:val="none" w:sz="0" w:space="0" w:color="auto"/>
        <w:bottom w:val="none" w:sz="0" w:space="0" w:color="auto"/>
        <w:right w:val="none" w:sz="0" w:space="0" w:color="auto"/>
      </w:divBdr>
      <w:divsChild>
        <w:div w:id="586958619">
          <w:marLeft w:val="547"/>
          <w:marRight w:val="0"/>
          <w:marTop w:val="0"/>
          <w:marBottom w:val="120"/>
          <w:divBdr>
            <w:top w:val="none" w:sz="0" w:space="0" w:color="auto"/>
            <w:left w:val="none" w:sz="0" w:space="0" w:color="auto"/>
            <w:bottom w:val="none" w:sz="0" w:space="0" w:color="auto"/>
            <w:right w:val="none" w:sz="0" w:space="0" w:color="auto"/>
          </w:divBdr>
        </w:div>
        <w:div w:id="7564799">
          <w:marLeft w:val="547"/>
          <w:marRight w:val="0"/>
          <w:marTop w:val="0"/>
          <w:marBottom w:val="120"/>
          <w:divBdr>
            <w:top w:val="none" w:sz="0" w:space="0" w:color="auto"/>
            <w:left w:val="none" w:sz="0" w:space="0" w:color="auto"/>
            <w:bottom w:val="none" w:sz="0" w:space="0" w:color="auto"/>
            <w:right w:val="none" w:sz="0" w:space="0" w:color="auto"/>
          </w:divBdr>
        </w:div>
        <w:div w:id="688677963">
          <w:marLeft w:val="547"/>
          <w:marRight w:val="0"/>
          <w:marTop w:val="0"/>
          <w:marBottom w:val="120"/>
          <w:divBdr>
            <w:top w:val="none" w:sz="0" w:space="0" w:color="auto"/>
            <w:left w:val="none" w:sz="0" w:space="0" w:color="auto"/>
            <w:bottom w:val="none" w:sz="0" w:space="0" w:color="auto"/>
            <w:right w:val="none" w:sz="0" w:space="0" w:color="auto"/>
          </w:divBdr>
        </w:div>
        <w:div w:id="743917904">
          <w:marLeft w:val="547"/>
          <w:marRight w:val="0"/>
          <w:marTop w:val="0"/>
          <w:marBottom w:val="120"/>
          <w:divBdr>
            <w:top w:val="none" w:sz="0" w:space="0" w:color="auto"/>
            <w:left w:val="none" w:sz="0" w:space="0" w:color="auto"/>
            <w:bottom w:val="none" w:sz="0" w:space="0" w:color="auto"/>
            <w:right w:val="none" w:sz="0" w:space="0" w:color="auto"/>
          </w:divBdr>
        </w:div>
        <w:div w:id="840000221">
          <w:marLeft w:val="547"/>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427404">
      <w:bodyDiv w:val="1"/>
      <w:marLeft w:val="0"/>
      <w:marRight w:val="0"/>
      <w:marTop w:val="0"/>
      <w:marBottom w:val="0"/>
      <w:divBdr>
        <w:top w:val="none" w:sz="0" w:space="0" w:color="auto"/>
        <w:left w:val="none" w:sz="0" w:space="0" w:color="auto"/>
        <w:bottom w:val="none" w:sz="0" w:space="0" w:color="auto"/>
        <w:right w:val="none" w:sz="0" w:space="0" w:color="auto"/>
      </w:divBdr>
      <w:divsChild>
        <w:div w:id="27872521">
          <w:marLeft w:val="547"/>
          <w:marRight w:val="0"/>
          <w:marTop w:val="0"/>
          <w:marBottom w:val="0"/>
          <w:divBdr>
            <w:top w:val="none" w:sz="0" w:space="0" w:color="auto"/>
            <w:left w:val="none" w:sz="0" w:space="0" w:color="auto"/>
            <w:bottom w:val="none" w:sz="0" w:space="0" w:color="auto"/>
            <w:right w:val="none" w:sz="0" w:space="0" w:color="auto"/>
          </w:divBdr>
        </w:div>
        <w:div w:id="1244991390">
          <w:marLeft w:val="1166"/>
          <w:marRight w:val="0"/>
          <w:marTop w:val="0"/>
          <w:marBottom w:val="120"/>
          <w:divBdr>
            <w:top w:val="none" w:sz="0" w:space="0" w:color="auto"/>
            <w:left w:val="none" w:sz="0" w:space="0" w:color="auto"/>
            <w:bottom w:val="none" w:sz="0" w:space="0" w:color="auto"/>
            <w:right w:val="none" w:sz="0" w:space="0" w:color="auto"/>
          </w:divBdr>
        </w:div>
        <w:div w:id="1762871994">
          <w:marLeft w:val="1166"/>
          <w:marRight w:val="0"/>
          <w:marTop w:val="0"/>
          <w:marBottom w:val="120"/>
          <w:divBdr>
            <w:top w:val="none" w:sz="0" w:space="0" w:color="auto"/>
            <w:left w:val="none" w:sz="0" w:space="0" w:color="auto"/>
            <w:bottom w:val="none" w:sz="0" w:space="0" w:color="auto"/>
            <w:right w:val="none" w:sz="0" w:space="0" w:color="auto"/>
          </w:divBdr>
        </w:div>
        <w:div w:id="1444495795">
          <w:marLeft w:val="1166"/>
          <w:marRight w:val="0"/>
          <w:marTop w:val="0"/>
          <w:marBottom w:val="120"/>
          <w:divBdr>
            <w:top w:val="none" w:sz="0" w:space="0" w:color="auto"/>
            <w:left w:val="none" w:sz="0" w:space="0" w:color="auto"/>
            <w:bottom w:val="none" w:sz="0" w:space="0" w:color="auto"/>
            <w:right w:val="none" w:sz="0" w:space="0" w:color="auto"/>
          </w:divBdr>
        </w:div>
        <w:div w:id="1322346021">
          <w:marLeft w:val="1166"/>
          <w:marRight w:val="0"/>
          <w:marTop w:val="0"/>
          <w:marBottom w:val="120"/>
          <w:divBdr>
            <w:top w:val="none" w:sz="0" w:space="0" w:color="auto"/>
            <w:left w:val="none" w:sz="0" w:space="0" w:color="auto"/>
            <w:bottom w:val="none" w:sz="0" w:space="0" w:color="auto"/>
            <w:right w:val="none" w:sz="0" w:space="0" w:color="auto"/>
          </w:divBdr>
        </w:div>
        <w:div w:id="652874042">
          <w:marLeft w:val="547"/>
          <w:marRight w:val="0"/>
          <w:marTop w:val="0"/>
          <w:marBottom w:val="0"/>
          <w:divBdr>
            <w:top w:val="none" w:sz="0" w:space="0" w:color="auto"/>
            <w:left w:val="none" w:sz="0" w:space="0" w:color="auto"/>
            <w:bottom w:val="none" w:sz="0" w:space="0" w:color="auto"/>
            <w:right w:val="none" w:sz="0" w:space="0" w:color="auto"/>
          </w:divBdr>
        </w:div>
        <w:div w:id="1237668446">
          <w:marLeft w:val="1166"/>
          <w:marRight w:val="0"/>
          <w:marTop w:val="0"/>
          <w:marBottom w:val="120"/>
          <w:divBdr>
            <w:top w:val="none" w:sz="0" w:space="0" w:color="auto"/>
            <w:left w:val="none" w:sz="0" w:space="0" w:color="auto"/>
            <w:bottom w:val="none" w:sz="0" w:space="0" w:color="auto"/>
            <w:right w:val="none" w:sz="0" w:space="0" w:color="auto"/>
          </w:divBdr>
        </w:div>
        <w:div w:id="2146854122">
          <w:marLeft w:val="1800"/>
          <w:marRight w:val="0"/>
          <w:marTop w:val="0"/>
          <w:marBottom w:val="0"/>
          <w:divBdr>
            <w:top w:val="none" w:sz="0" w:space="0" w:color="auto"/>
            <w:left w:val="none" w:sz="0" w:space="0" w:color="auto"/>
            <w:bottom w:val="none" w:sz="0" w:space="0" w:color="auto"/>
            <w:right w:val="none" w:sz="0" w:space="0" w:color="auto"/>
          </w:divBdr>
        </w:div>
        <w:div w:id="457989070">
          <w:marLeft w:val="1166"/>
          <w:marRight w:val="0"/>
          <w:marTop w:val="0"/>
          <w:marBottom w:val="120"/>
          <w:divBdr>
            <w:top w:val="none" w:sz="0" w:space="0" w:color="auto"/>
            <w:left w:val="none" w:sz="0" w:space="0" w:color="auto"/>
            <w:bottom w:val="none" w:sz="0" w:space="0" w:color="auto"/>
            <w:right w:val="none" w:sz="0" w:space="0" w:color="auto"/>
          </w:divBdr>
        </w:div>
        <w:div w:id="1637487419">
          <w:marLeft w:val="1800"/>
          <w:marRight w:val="0"/>
          <w:marTop w:val="0"/>
          <w:marBottom w:val="0"/>
          <w:divBdr>
            <w:top w:val="none" w:sz="0" w:space="0" w:color="auto"/>
            <w:left w:val="none" w:sz="0" w:space="0" w:color="auto"/>
            <w:bottom w:val="none" w:sz="0" w:space="0" w:color="auto"/>
            <w:right w:val="none" w:sz="0" w:space="0" w:color="auto"/>
          </w:divBdr>
        </w:div>
        <w:div w:id="481241687">
          <w:marLeft w:val="1166"/>
          <w:marRight w:val="0"/>
          <w:marTop w:val="0"/>
          <w:marBottom w:val="120"/>
          <w:divBdr>
            <w:top w:val="none" w:sz="0" w:space="0" w:color="auto"/>
            <w:left w:val="none" w:sz="0" w:space="0" w:color="auto"/>
            <w:bottom w:val="none" w:sz="0" w:space="0" w:color="auto"/>
            <w:right w:val="none" w:sz="0" w:space="0" w:color="auto"/>
          </w:divBdr>
        </w:div>
        <w:div w:id="23096819">
          <w:marLeft w:val="1166"/>
          <w:marRight w:val="0"/>
          <w:marTop w:val="0"/>
          <w:marBottom w:val="120"/>
          <w:divBdr>
            <w:top w:val="none" w:sz="0" w:space="0" w:color="auto"/>
            <w:left w:val="none" w:sz="0" w:space="0" w:color="auto"/>
            <w:bottom w:val="none" w:sz="0" w:space="0" w:color="auto"/>
            <w:right w:val="none" w:sz="0" w:space="0" w:color="auto"/>
          </w:divBdr>
        </w:div>
        <w:div w:id="1008481853">
          <w:marLeft w:val="547"/>
          <w:marRight w:val="0"/>
          <w:marTop w:val="0"/>
          <w:marBottom w:val="0"/>
          <w:divBdr>
            <w:top w:val="none" w:sz="0" w:space="0" w:color="auto"/>
            <w:left w:val="none" w:sz="0" w:space="0" w:color="auto"/>
            <w:bottom w:val="none" w:sz="0" w:space="0" w:color="auto"/>
            <w:right w:val="none" w:sz="0" w:space="0" w:color="auto"/>
          </w:divBdr>
        </w:div>
      </w:divsChild>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37161">
      <w:bodyDiv w:val="1"/>
      <w:marLeft w:val="0"/>
      <w:marRight w:val="0"/>
      <w:marTop w:val="0"/>
      <w:marBottom w:val="0"/>
      <w:divBdr>
        <w:top w:val="none" w:sz="0" w:space="0" w:color="auto"/>
        <w:left w:val="none" w:sz="0" w:space="0" w:color="auto"/>
        <w:bottom w:val="none" w:sz="0" w:space="0" w:color="auto"/>
        <w:right w:val="none" w:sz="0" w:space="0" w:color="auto"/>
      </w:divBdr>
      <w:divsChild>
        <w:div w:id="750393461">
          <w:marLeft w:val="547"/>
          <w:marRight w:val="0"/>
          <w:marTop w:val="0"/>
          <w:marBottom w:val="0"/>
          <w:divBdr>
            <w:top w:val="none" w:sz="0" w:space="0" w:color="auto"/>
            <w:left w:val="none" w:sz="0" w:space="0" w:color="auto"/>
            <w:bottom w:val="none" w:sz="0" w:space="0" w:color="auto"/>
            <w:right w:val="none" w:sz="0" w:space="0" w:color="auto"/>
          </w:divBdr>
        </w:div>
        <w:div w:id="1378315691">
          <w:marLeft w:val="907"/>
          <w:marRight w:val="0"/>
          <w:marTop w:val="0"/>
          <w:marBottom w:val="0"/>
          <w:divBdr>
            <w:top w:val="none" w:sz="0" w:space="0" w:color="auto"/>
            <w:left w:val="none" w:sz="0" w:space="0" w:color="auto"/>
            <w:bottom w:val="none" w:sz="0" w:space="0" w:color="auto"/>
            <w:right w:val="none" w:sz="0" w:space="0" w:color="auto"/>
          </w:divBdr>
        </w:div>
        <w:div w:id="1567764212">
          <w:marLeft w:val="547"/>
          <w:marRight w:val="0"/>
          <w:marTop w:val="0"/>
          <w:marBottom w:val="0"/>
          <w:divBdr>
            <w:top w:val="none" w:sz="0" w:space="0" w:color="auto"/>
            <w:left w:val="none" w:sz="0" w:space="0" w:color="auto"/>
            <w:bottom w:val="none" w:sz="0" w:space="0" w:color="auto"/>
            <w:right w:val="none" w:sz="0" w:space="0" w:color="auto"/>
          </w:divBdr>
        </w:div>
        <w:div w:id="991829824">
          <w:marLeft w:val="547"/>
          <w:marRight w:val="0"/>
          <w:marTop w:val="0"/>
          <w:marBottom w:val="0"/>
          <w:divBdr>
            <w:top w:val="none" w:sz="0" w:space="0" w:color="auto"/>
            <w:left w:val="none" w:sz="0" w:space="0" w:color="auto"/>
            <w:bottom w:val="none" w:sz="0" w:space="0" w:color="auto"/>
            <w:right w:val="none" w:sz="0" w:space="0" w:color="auto"/>
          </w:divBdr>
        </w:div>
      </w:divsChild>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83763309">
      <w:bodyDiv w:val="1"/>
      <w:marLeft w:val="0"/>
      <w:marRight w:val="0"/>
      <w:marTop w:val="0"/>
      <w:marBottom w:val="0"/>
      <w:divBdr>
        <w:top w:val="none" w:sz="0" w:space="0" w:color="auto"/>
        <w:left w:val="none" w:sz="0" w:space="0" w:color="auto"/>
        <w:bottom w:val="none" w:sz="0" w:space="0" w:color="auto"/>
        <w:right w:val="none" w:sz="0" w:space="0" w:color="auto"/>
      </w:divBdr>
      <w:divsChild>
        <w:div w:id="457073296">
          <w:marLeft w:val="547"/>
          <w:marRight w:val="0"/>
          <w:marTop w:val="0"/>
          <w:marBottom w:val="0"/>
          <w:divBdr>
            <w:top w:val="none" w:sz="0" w:space="0" w:color="auto"/>
            <w:left w:val="none" w:sz="0" w:space="0" w:color="auto"/>
            <w:bottom w:val="none" w:sz="0" w:space="0" w:color="auto"/>
            <w:right w:val="none" w:sz="0" w:space="0" w:color="auto"/>
          </w:divBdr>
        </w:div>
        <w:div w:id="577401718">
          <w:marLeft w:val="907"/>
          <w:marRight w:val="0"/>
          <w:marTop w:val="0"/>
          <w:marBottom w:val="0"/>
          <w:divBdr>
            <w:top w:val="none" w:sz="0" w:space="0" w:color="auto"/>
            <w:left w:val="none" w:sz="0" w:space="0" w:color="auto"/>
            <w:bottom w:val="none" w:sz="0" w:space="0" w:color="auto"/>
            <w:right w:val="none" w:sz="0" w:space="0" w:color="auto"/>
          </w:divBdr>
        </w:div>
        <w:div w:id="1287198113">
          <w:marLeft w:val="547"/>
          <w:marRight w:val="0"/>
          <w:marTop w:val="0"/>
          <w:marBottom w:val="0"/>
          <w:divBdr>
            <w:top w:val="none" w:sz="0" w:space="0" w:color="auto"/>
            <w:left w:val="none" w:sz="0" w:space="0" w:color="auto"/>
            <w:bottom w:val="none" w:sz="0" w:space="0" w:color="auto"/>
            <w:right w:val="none" w:sz="0" w:space="0" w:color="auto"/>
          </w:divBdr>
        </w:div>
        <w:div w:id="1771269110">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639577">
      <w:bodyDiv w:val="1"/>
      <w:marLeft w:val="0"/>
      <w:marRight w:val="0"/>
      <w:marTop w:val="0"/>
      <w:marBottom w:val="0"/>
      <w:divBdr>
        <w:top w:val="none" w:sz="0" w:space="0" w:color="auto"/>
        <w:left w:val="none" w:sz="0" w:space="0" w:color="auto"/>
        <w:bottom w:val="none" w:sz="0" w:space="0" w:color="auto"/>
        <w:right w:val="none" w:sz="0" w:space="0" w:color="auto"/>
      </w:divBdr>
      <w:divsChild>
        <w:div w:id="1891259322">
          <w:marLeft w:val="547"/>
          <w:marRight w:val="0"/>
          <w:marTop w:val="0"/>
          <w:marBottom w:val="0"/>
          <w:divBdr>
            <w:top w:val="none" w:sz="0" w:space="0" w:color="auto"/>
            <w:left w:val="none" w:sz="0" w:space="0" w:color="auto"/>
            <w:bottom w:val="none" w:sz="0" w:space="0" w:color="auto"/>
            <w:right w:val="none" w:sz="0" w:space="0" w:color="auto"/>
          </w:divBdr>
        </w:div>
        <w:div w:id="123154912">
          <w:marLeft w:val="547"/>
          <w:marRight w:val="0"/>
          <w:marTop w:val="0"/>
          <w:marBottom w:val="0"/>
          <w:divBdr>
            <w:top w:val="none" w:sz="0" w:space="0" w:color="auto"/>
            <w:left w:val="none" w:sz="0" w:space="0" w:color="auto"/>
            <w:bottom w:val="none" w:sz="0" w:space="0" w:color="auto"/>
            <w:right w:val="none" w:sz="0" w:space="0" w:color="auto"/>
          </w:divBdr>
        </w:div>
      </w:divsChild>
    </w:div>
    <w:div w:id="20374629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5AIRPNAIUNRU-1830940522-8243</_dlc_DocId>
    <_dlc_DocIdUrl xmlns="71c5aaf6-e6ce-465b-b873-5148d2a4c105">
      <Url>https://nokia.sharepoint.com/sites/c5g/5gradio/_layouts/15/DocIdRedir.aspx?ID=5AIRPNAIUNRU-1830940522-8243</Url>
      <Description>5AIRPNAIUNRU-1830940522-8243</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D4A811F-4C27-4A57-8CE8-BB55FAE41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FF1B54-A607-4AF0-B9F3-9FBAA455D2AB}">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07048E3-1329-4AB1-8539-544D47B4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2297</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6</cp:revision>
  <cp:lastPrinted>2019-03-28T09:37:00Z</cp:lastPrinted>
  <dcterms:created xsi:type="dcterms:W3CDTF">2020-08-07T13:38:00Z</dcterms:created>
  <dcterms:modified xsi:type="dcterms:W3CDTF">2020-08-07T14:13:00Z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2f894f65-de47-4d70-bd1f-2343d03b4587</vt:lpwstr>
  </property>
  <property fmtid="{D5CDD505-2E9C-101B-9397-08002B2CF9AE}" pid="9" name="AuthorIds_UIVersion_2048">
    <vt:lpwstr>14130</vt:lpwstr>
  </property>
  <property fmtid="{D5CDD505-2E9C-101B-9397-08002B2CF9AE}" pid="10" name="AuthorIds_UIVersion_512">
    <vt:lpwstr>14130</vt:lpwstr>
  </property>
</Properties>
</file>